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7448" w14:textId="77777777" w:rsidR="00887E1E" w:rsidRDefault="00887E1E" w:rsidP="00CA699D">
      <w:pPr>
        <w:pStyle w:val="datumtevilka"/>
        <w:jc w:val="center"/>
      </w:pPr>
    </w:p>
    <w:p w14:paraId="753CF181" w14:textId="77777777" w:rsidR="00887E1E" w:rsidRDefault="00887E1E" w:rsidP="00CA699D">
      <w:pPr>
        <w:pStyle w:val="datumtevilka"/>
        <w:jc w:val="center"/>
      </w:pPr>
    </w:p>
    <w:p w14:paraId="3E09CBBD" w14:textId="77777777" w:rsidR="00F825FF" w:rsidRDefault="00F825FF" w:rsidP="00CA699D">
      <w:pPr>
        <w:pStyle w:val="datumtevilka"/>
        <w:jc w:val="center"/>
      </w:pPr>
    </w:p>
    <w:p w14:paraId="18D9DE77" w14:textId="77777777" w:rsidR="00F825FF" w:rsidRDefault="00F825FF" w:rsidP="00CA699D">
      <w:pPr>
        <w:pStyle w:val="datumtevilka"/>
        <w:jc w:val="center"/>
      </w:pPr>
    </w:p>
    <w:p w14:paraId="793835AC" w14:textId="77777777" w:rsidR="00F825FF" w:rsidRDefault="00F825FF" w:rsidP="00CA699D">
      <w:pPr>
        <w:pStyle w:val="datumtevilka"/>
        <w:jc w:val="center"/>
      </w:pPr>
    </w:p>
    <w:p w14:paraId="7C6FFB65" w14:textId="77777777" w:rsidR="00F825FF" w:rsidRDefault="00F825FF" w:rsidP="00CA699D">
      <w:pPr>
        <w:pStyle w:val="datumtevilka"/>
        <w:jc w:val="center"/>
      </w:pPr>
    </w:p>
    <w:p w14:paraId="6F0C51E4" w14:textId="77777777" w:rsidR="00887E1E" w:rsidRDefault="00887E1E" w:rsidP="00CA699D">
      <w:pPr>
        <w:pStyle w:val="datumtevilka"/>
        <w:jc w:val="center"/>
      </w:pPr>
    </w:p>
    <w:p w14:paraId="46AE8FF0" w14:textId="77777777" w:rsidR="00887E1E" w:rsidRDefault="00887E1E" w:rsidP="00CA699D">
      <w:pPr>
        <w:pStyle w:val="datumtevilka"/>
        <w:jc w:val="center"/>
      </w:pPr>
    </w:p>
    <w:p w14:paraId="31D4CA9F" w14:textId="77777777" w:rsidR="006A3AA5" w:rsidRDefault="006A3AA5" w:rsidP="00E853E8">
      <w:pPr>
        <w:pStyle w:val="datumtevilka"/>
        <w:jc w:val="center"/>
        <w:rPr>
          <w:b/>
          <w:sz w:val="32"/>
          <w:szCs w:val="32"/>
        </w:rPr>
      </w:pPr>
    </w:p>
    <w:p w14:paraId="4B6E06D5" w14:textId="50D577E2" w:rsidR="00887E1E" w:rsidRDefault="009F385C" w:rsidP="00E853E8">
      <w:pPr>
        <w:pStyle w:val="datumtevilka"/>
        <w:jc w:val="center"/>
        <w:rPr>
          <w:b/>
          <w:sz w:val="32"/>
          <w:szCs w:val="32"/>
        </w:rPr>
      </w:pPr>
      <w:r w:rsidRPr="009F385C">
        <w:rPr>
          <w:b/>
          <w:sz w:val="32"/>
          <w:szCs w:val="32"/>
        </w:rPr>
        <w:t>HARMONIZIRAN</w:t>
      </w:r>
      <w:r w:rsidR="006934B0">
        <w:rPr>
          <w:b/>
          <w:sz w:val="32"/>
          <w:szCs w:val="32"/>
        </w:rPr>
        <w:t>I</w:t>
      </w:r>
      <w:r w:rsidRPr="009F385C">
        <w:rPr>
          <w:b/>
          <w:sz w:val="32"/>
          <w:szCs w:val="32"/>
        </w:rPr>
        <w:t xml:space="preserve"> SISTEM</w:t>
      </w:r>
    </w:p>
    <w:p w14:paraId="2864ED19" w14:textId="77777777" w:rsidR="006934B0" w:rsidRDefault="006934B0" w:rsidP="00E853E8">
      <w:pPr>
        <w:pStyle w:val="datumtevilka"/>
        <w:jc w:val="center"/>
        <w:rPr>
          <w:b/>
          <w:sz w:val="32"/>
          <w:szCs w:val="32"/>
        </w:rPr>
      </w:pPr>
    </w:p>
    <w:p w14:paraId="1DF08FF6" w14:textId="6CF32AD4" w:rsidR="006934B0" w:rsidRDefault="006934B0" w:rsidP="00E853E8">
      <w:pPr>
        <w:pStyle w:val="datumtevilka"/>
        <w:jc w:val="center"/>
      </w:pPr>
      <w:r>
        <w:rPr>
          <w:b/>
          <w:sz w:val="32"/>
          <w:szCs w:val="32"/>
        </w:rPr>
        <w:t xml:space="preserve">SVETOVNE CARINSKE ORGANIZACIJE </w:t>
      </w:r>
    </w:p>
    <w:p w14:paraId="570907BF" w14:textId="77777777" w:rsidR="00E853E8" w:rsidRDefault="00E853E8" w:rsidP="00E853E8">
      <w:pPr>
        <w:pStyle w:val="datumtevilka"/>
        <w:jc w:val="center"/>
      </w:pPr>
    </w:p>
    <w:p w14:paraId="107B1995" w14:textId="77777777" w:rsidR="00E853E8" w:rsidRDefault="00E853E8" w:rsidP="00E853E8">
      <w:pPr>
        <w:pStyle w:val="datumtevilka"/>
        <w:jc w:val="center"/>
      </w:pPr>
    </w:p>
    <w:p w14:paraId="5D9131E2" w14:textId="77777777" w:rsidR="00E853E8" w:rsidRDefault="00E853E8" w:rsidP="00E853E8">
      <w:pPr>
        <w:pStyle w:val="datumtevilka"/>
        <w:jc w:val="center"/>
      </w:pPr>
    </w:p>
    <w:p w14:paraId="26339341" w14:textId="77777777" w:rsidR="00E853E8" w:rsidRDefault="00E853E8" w:rsidP="00E853E8">
      <w:pPr>
        <w:pStyle w:val="datumtevilka"/>
        <w:jc w:val="center"/>
      </w:pPr>
    </w:p>
    <w:p w14:paraId="23A4EA86" w14:textId="77777777" w:rsidR="00E853E8" w:rsidRDefault="00E853E8" w:rsidP="00E853E8">
      <w:pPr>
        <w:pStyle w:val="datumtevilka"/>
        <w:jc w:val="center"/>
      </w:pPr>
    </w:p>
    <w:p w14:paraId="08C5DC38" w14:textId="77777777" w:rsidR="00887E1E" w:rsidRDefault="00887E1E" w:rsidP="00E853E8">
      <w:pPr>
        <w:pStyle w:val="datumtevilka"/>
        <w:jc w:val="center"/>
      </w:pPr>
    </w:p>
    <w:p w14:paraId="299DF30A" w14:textId="77777777" w:rsidR="00F825FF" w:rsidRDefault="00F825FF" w:rsidP="00E853E8">
      <w:pPr>
        <w:pStyle w:val="datumtevilka"/>
        <w:jc w:val="center"/>
      </w:pPr>
    </w:p>
    <w:p w14:paraId="2B817DEE" w14:textId="77777777" w:rsidR="00F825FF" w:rsidRDefault="00F825FF" w:rsidP="00CA699D">
      <w:pPr>
        <w:pStyle w:val="datumtevilka"/>
        <w:jc w:val="center"/>
      </w:pPr>
    </w:p>
    <w:p w14:paraId="21C8EF40" w14:textId="77777777" w:rsidR="00F825FF" w:rsidRDefault="00F825FF" w:rsidP="00CA699D">
      <w:pPr>
        <w:pStyle w:val="datumtevilka"/>
        <w:jc w:val="center"/>
      </w:pPr>
    </w:p>
    <w:p w14:paraId="348F3148" w14:textId="77777777" w:rsidR="00F825FF" w:rsidRDefault="00F825FF" w:rsidP="00CA699D">
      <w:pPr>
        <w:pStyle w:val="datumtevilka"/>
        <w:jc w:val="center"/>
      </w:pPr>
    </w:p>
    <w:p w14:paraId="7462787C" w14:textId="77777777" w:rsidR="00F825FF" w:rsidRDefault="00F825FF" w:rsidP="00CA699D">
      <w:pPr>
        <w:pStyle w:val="datumtevilka"/>
        <w:jc w:val="center"/>
      </w:pPr>
    </w:p>
    <w:p w14:paraId="00B52B61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414DE54E" w14:textId="77777777" w:rsidR="00F825FF" w:rsidRDefault="00F825FF" w:rsidP="00CA699D">
      <w:pPr>
        <w:pStyle w:val="podpisi"/>
        <w:jc w:val="center"/>
        <w:rPr>
          <w:lang w:val="sl-SI"/>
        </w:rPr>
      </w:pPr>
    </w:p>
    <w:p w14:paraId="6462BC99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3AEA2807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440E6457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772C489A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78EA2478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4985F86B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3397FF35" w14:textId="77777777" w:rsidR="00E853E8" w:rsidRDefault="00E853E8" w:rsidP="00CA699D">
      <w:pPr>
        <w:pStyle w:val="podpisi"/>
        <w:jc w:val="center"/>
        <w:rPr>
          <w:lang w:val="sl-SI"/>
        </w:rPr>
      </w:pPr>
    </w:p>
    <w:p w14:paraId="69266207" w14:textId="77777777" w:rsidR="00E853E8" w:rsidRDefault="00E853E8" w:rsidP="00CA699D">
      <w:pPr>
        <w:pStyle w:val="podpisi"/>
        <w:jc w:val="center"/>
        <w:rPr>
          <w:lang w:val="sl-SI"/>
        </w:rPr>
      </w:pPr>
    </w:p>
    <w:p w14:paraId="008B9537" w14:textId="77777777" w:rsidR="00E853E8" w:rsidRDefault="00E853E8" w:rsidP="00CA699D">
      <w:pPr>
        <w:pStyle w:val="podpisi"/>
        <w:jc w:val="center"/>
        <w:rPr>
          <w:lang w:val="sl-SI"/>
        </w:rPr>
      </w:pPr>
    </w:p>
    <w:p w14:paraId="05E81D53" w14:textId="77777777" w:rsidR="00E853E8" w:rsidRDefault="00E853E8" w:rsidP="00CA699D">
      <w:pPr>
        <w:pStyle w:val="podpisi"/>
        <w:jc w:val="center"/>
        <w:rPr>
          <w:lang w:val="sl-SI"/>
        </w:rPr>
      </w:pPr>
    </w:p>
    <w:p w14:paraId="34B9B16D" w14:textId="77777777" w:rsidR="00E853E8" w:rsidRDefault="00E853E8" w:rsidP="00CA699D">
      <w:pPr>
        <w:pStyle w:val="podpisi"/>
        <w:jc w:val="center"/>
        <w:rPr>
          <w:lang w:val="sl-SI"/>
        </w:rPr>
      </w:pPr>
    </w:p>
    <w:p w14:paraId="52D87161" w14:textId="77777777" w:rsidR="00E853E8" w:rsidRDefault="00E853E8" w:rsidP="00CA699D">
      <w:pPr>
        <w:pStyle w:val="podpisi"/>
        <w:jc w:val="center"/>
        <w:rPr>
          <w:lang w:val="sl-SI"/>
        </w:rPr>
      </w:pPr>
    </w:p>
    <w:p w14:paraId="54827B6E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2CC5FD62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42966AF3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1F91B7A8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343F7788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01D96B89" w14:textId="77777777" w:rsidR="00887E1E" w:rsidRDefault="00887E1E" w:rsidP="00CA699D">
      <w:pPr>
        <w:pStyle w:val="podpisi"/>
        <w:jc w:val="center"/>
        <w:rPr>
          <w:lang w:val="sl-SI"/>
        </w:rPr>
      </w:pPr>
    </w:p>
    <w:p w14:paraId="0CFF130E" w14:textId="77777777" w:rsidR="00DA2C9A" w:rsidRPr="006934B0" w:rsidRDefault="00CA699D" w:rsidP="009541F3">
      <w:pPr>
        <w:rPr>
          <w:b/>
          <w:sz w:val="24"/>
          <w:lang w:val="it-IT"/>
        </w:rPr>
      </w:pPr>
      <w:r w:rsidRPr="006934B0">
        <w:rPr>
          <w:sz w:val="28"/>
          <w:lang w:val="it-IT"/>
        </w:rPr>
        <w:br w:type="page"/>
      </w:r>
      <w:r w:rsidR="00DA2C9A" w:rsidRPr="006934B0">
        <w:rPr>
          <w:b/>
          <w:sz w:val="24"/>
          <w:lang w:val="it-IT"/>
        </w:rPr>
        <w:lastRenderedPageBreak/>
        <w:t>K</w:t>
      </w:r>
      <w:r w:rsidR="000C203D" w:rsidRPr="006934B0">
        <w:rPr>
          <w:b/>
          <w:sz w:val="24"/>
          <w:lang w:val="it-IT"/>
        </w:rPr>
        <w:t>AZALO</w:t>
      </w:r>
    </w:p>
    <w:p w14:paraId="308AC0FA" w14:textId="77777777" w:rsidR="00DA2C9A" w:rsidRPr="006934B0" w:rsidRDefault="00DA2C9A" w:rsidP="009541F3">
      <w:pPr>
        <w:rPr>
          <w:b/>
          <w:sz w:val="24"/>
          <w:lang w:val="it-IT"/>
        </w:rPr>
      </w:pPr>
    </w:p>
    <w:p w14:paraId="561A0CD4" w14:textId="2B9E1E2C" w:rsidR="00DF3376" w:rsidRPr="00032BA0" w:rsidRDefault="00F079C5">
      <w:pPr>
        <w:pStyle w:val="Kazalovsebine1"/>
        <w:rPr>
          <w:rFonts w:ascii="Calibri" w:hAnsi="Calibri"/>
          <w:noProof/>
          <w:sz w:val="22"/>
          <w:szCs w:val="22"/>
          <w:lang w:val="sl-SI" w:eastAsia="sl-SI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TOC \h \z \t "FURS_naslov_1;1;FURS_naslov_2;2" </w:instrText>
      </w:r>
      <w:r>
        <w:rPr>
          <w:b/>
          <w:sz w:val="28"/>
        </w:rPr>
        <w:fldChar w:fldCharType="separate"/>
      </w:r>
      <w:hyperlink w:anchor="_Toc412813699" w:history="1">
        <w:r w:rsidR="00DF3376" w:rsidRPr="003F1B70">
          <w:rPr>
            <w:rStyle w:val="Hiperpovezava"/>
            <w:noProof/>
          </w:rPr>
          <w:t>1.0 HARMONIZIRAN</w:t>
        </w:r>
        <w:r w:rsidR="006934B0">
          <w:rPr>
            <w:rStyle w:val="Hiperpovezava"/>
            <w:noProof/>
          </w:rPr>
          <w:t>I</w:t>
        </w:r>
        <w:r w:rsidR="00DF3376" w:rsidRPr="003F1B70">
          <w:rPr>
            <w:rStyle w:val="Hiperpovezava"/>
            <w:noProof/>
          </w:rPr>
          <w:t xml:space="preserve"> SISTEM</w:t>
        </w:r>
        <w:r w:rsidR="00DF3376">
          <w:rPr>
            <w:noProof/>
            <w:webHidden/>
          </w:rPr>
          <w:tab/>
        </w:r>
        <w:r w:rsidR="00DF3376">
          <w:rPr>
            <w:noProof/>
            <w:webHidden/>
          </w:rPr>
          <w:fldChar w:fldCharType="begin"/>
        </w:r>
        <w:r w:rsidR="00DF3376">
          <w:rPr>
            <w:noProof/>
            <w:webHidden/>
          </w:rPr>
          <w:instrText xml:space="preserve"> PAGEREF _Toc412813699 \h </w:instrText>
        </w:r>
        <w:r w:rsidR="00DF3376">
          <w:rPr>
            <w:noProof/>
            <w:webHidden/>
          </w:rPr>
        </w:r>
        <w:r w:rsidR="00DF3376">
          <w:rPr>
            <w:noProof/>
            <w:webHidden/>
          </w:rPr>
          <w:fldChar w:fldCharType="separate"/>
        </w:r>
        <w:r w:rsidR="001E21D0">
          <w:rPr>
            <w:noProof/>
            <w:webHidden/>
          </w:rPr>
          <w:t>3</w:t>
        </w:r>
        <w:r w:rsidR="00DF3376">
          <w:rPr>
            <w:noProof/>
            <w:webHidden/>
          </w:rPr>
          <w:fldChar w:fldCharType="end"/>
        </w:r>
      </w:hyperlink>
    </w:p>
    <w:p w14:paraId="406AFFB0" w14:textId="77777777" w:rsidR="00DF3376" w:rsidRPr="00032BA0" w:rsidRDefault="00756C8B">
      <w:pPr>
        <w:pStyle w:val="Kazalovsebine1"/>
        <w:rPr>
          <w:rFonts w:ascii="Calibri" w:hAnsi="Calibri"/>
          <w:noProof/>
          <w:sz w:val="22"/>
          <w:szCs w:val="22"/>
          <w:lang w:val="sl-SI" w:eastAsia="sl-SI"/>
        </w:rPr>
      </w:pPr>
      <w:hyperlink w:anchor="_Toc412813700" w:history="1">
        <w:r w:rsidR="00DF3376" w:rsidRPr="003F1B70">
          <w:rPr>
            <w:rStyle w:val="Hiperpovezava"/>
            <w:noProof/>
          </w:rPr>
          <w:t>2.0 VSEBINA NOMENKLATURE HARMONIZIRANEGA SISTEMA</w:t>
        </w:r>
        <w:r w:rsidR="00DF3376">
          <w:rPr>
            <w:noProof/>
            <w:webHidden/>
          </w:rPr>
          <w:tab/>
        </w:r>
        <w:r w:rsidR="00DF3376">
          <w:rPr>
            <w:noProof/>
            <w:webHidden/>
          </w:rPr>
          <w:fldChar w:fldCharType="begin"/>
        </w:r>
        <w:r w:rsidR="00DF3376">
          <w:rPr>
            <w:noProof/>
            <w:webHidden/>
          </w:rPr>
          <w:instrText xml:space="preserve"> PAGEREF _Toc412813700 \h </w:instrText>
        </w:r>
        <w:r w:rsidR="00DF3376">
          <w:rPr>
            <w:noProof/>
            <w:webHidden/>
          </w:rPr>
        </w:r>
        <w:r w:rsidR="00DF3376">
          <w:rPr>
            <w:noProof/>
            <w:webHidden/>
          </w:rPr>
          <w:fldChar w:fldCharType="separate"/>
        </w:r>
        <w:r w:rsidR="001E21D0">
          <w:rPr>
            <w:noProof/>
            <w:webHidden/>
          </w:rPr>
          <w:t>3</w:t>
        </w:r>
        <w:r w:rsidR="00DF3376">
          <w:rPr>
            <w:noProof/>
            <w:webHidden/>
          </w:rPr>
          <w:fldChar w:fldCharType="end"/>
        </w:r>
      </w:hyperlink>
    </w:p>
    <w:p w14:paraId="63DFDCD9" w14:textId="77777777" w:rsidR="00DF3376" w:rsidRPr="00032BA0" w:rsidRDefault="00756C8B">
      <w:pPr>
        <w:pStyle w:val="Kazalovsebine1"/>
        <w:rPr>
          <w:rFonts w:ascii="Calibri" w:hAnsi="Calibri"/>
          <w:noProof/>
          <w:sz w:val="22"/>
          <w:szCs w:val="22"/>
          <w:lang w:val="sl-SI" w:eastAsia="sl-SI"/>
        </w:rPr>
      </w:pPr>
      <w:hyperlink w:anchor="_Toc412813701" w:history="1">
        <w:r w:rsidR="00DF3376" w:rsidRPr="003F1B70">
          <w:rPr>
            <w:rStyle w:val="Hiperpovezava"/>
            <w:noProof/>
          </w:rPr>
          <w:t xml:space="preserve">3.0 POJASNJEVALNE OPOMBE </w:t>
        </w:r>
        <w:r w:rsidR="00954915">
          <w:rPr>
            <w:rStyle w:val="Hiperpovezava"/>
            <w:noProof/>
          </w:rPr>
          <w:t xml:space="preserve">K NOMENKLATURI </w:t>
        </w:r>
        <w:r w:rsidR="00DF3376" w:rsidRPr="003F1B70">
          <w:rPr>
            <w:rStyle w:val="Hiperpovezava"/>
            <w:noProof/>
          </w:rPr>
          <w:t>HARMONIZIRANEGA SISTEMA</w:t>
        </w:r>
        <w:r w:rsidR="00DF3376">
          <w:rPr>
            <w:noProof/>
            <w:webHidden/>
          </w:rPr>
          <w:tab/>
        </w:r>
        <w:r w:rsidR="00DF3376">
          <w:rPr>
            <w:noProof/>
            <w:webHidden/>
          </w:rPr>
          <w:fldChar w:fldCharType="begin"/>
        </w:r>
        <w:r w:rsidR="00DF3376">
          <w:rPr>
            <w:noProof/>
            <w:webHidden/>
          </w:rPr>
          <w:instrText xml:space="preserve"> PAGEREF _Toc412813701 \h </w:instrText>
        </w:r>
        <w:r w:rsidR="00DF3376">
          <w:rPr>
            <w:noProof/>
            <w:webHidden/>
          </w:rPr>
        </w:r>
        <w:r w:rsidR="00DF3376">
          <w:rPr>
            <w:noProof/>
            <w:webHidden/>
          </w:rPr>
          <w:fldChar w:fldCharType="separate"/>
        </w:r>
        <w:r w:rsidR="001E21D0">
          <w:rPr>
            <w:noProof/>
            <w:webHidden/>
          </w:rPr>
          <w:t>6</w:t>
        </w:r>
        <w:r w:rsidR="00DF3376">
          <w:rPr>
            <w:noProof/>
            <w:webHidden/>
          </w:rPr>
          <w:fldChar w:fldCharType="end"/>
        </w:r>
      </w:hyperlink>
    </w:p>
    <w:p w14:paraId="1E286FD6" w14:textId="77777777" w:rsidR="00DF3376" w:rsidRPr="00032BA0" w:rsidRDefault="00756C8B">
      <w:pPr>
        <w:pStyle w:val="Kazalovsebine1"/>
        <w:rPr>
          <w:rFonts w:ascii="Calibri" w:hAnsi="Calibri"/>
          <w:noProof/>
          <w:sz w:val="22"/>
          <w:szCs w:val="22"/>
          <w:lang w:val="sl-SI" w:eastAsia="sl-SI"/>
        </w:rPr>
      </w:pPr>
      <w:hyperlink w:anchor="_Toc412813702" w:history="1">
        <w:r w:rsidR="00DF3376" w:rsidRPr="003F1B70">
          <w:rPr>
            <w:rStyle w:val="Hiperpovezava"/>
            <w:noProof/>
          </w:rPr>
          <w:t>4.0 VLOGA SVETOVNE CARINSKE ORGANIZACIJE</w:t>
        </w:r>
        <w:r w:rsidR="00DF3376">
          <w:rPr>
            <w:noProof/>
            <w:webHidden/>
          </w:rPr>
          <w:tab/>
        </w:r>
        <w:r w:rsidR="00DF3376">
          <w:rPr>
            <w:noProof/>
            <w:webHidden/>
          </w:rPr>
          <w:fldChar w:fldCharType="begin"/>
        </w:r>
        <w:r w:rsidR="00DF3376">
          <w:rPr>
            <w:noProof/>
            <w:webHidden/>
          </w:rPr>
          <w:instrText xml:space="preserve"> PAGEREF _Toc412813702 \h </w:instrText>
        </w:r>
        <w:r w:rsidR="00DF3376">
          <w:rPr>
            <w:noProof/>
            <w:webHidden/>
          </w:rPr>
        </w:r>
        <w:r w:rsidR="00DF3376">
          <w:rPr>
            <w:noProof/>
            <w:webHidden/>
          </w:rPr>
          <w:fldChar w:fldCharType="separate"/>
        </w:r>
        <w:r w:rsidR="001E21D0">
          <w:rPr>
            <w:noProof/>
            <w:webHidden/>
          </w:rPr>
          <w:t>6</w:t>
        </w:r>
        <w:r w:rsidR="00DF3376">
          <w:rPr>
            <w:noProof/>
            <w:webHidden/>
          </w:rPr>
          <w:fldChar w:fldCharType="end"/>
        </w:r>
      </w:hyperlink>
    </w:p>
    <w:p w14:paraId="10573A04" w14:textId="6BF84324" w:rsidR="00887E1E" w:rsidRPr="00E57198" w:rsidRDefault="00F079C5" w:rsidP="00E57198">
      <w:pPr>
        <w:pStyle w:val="FURSnaslov1"/>
      </w:pPr>
      <w:r>
        <w:rPr>
          <w:b w:val="0"/>
          <w:sz w:val="28"/>
          <w:lang w:val="en-US"/>
        </w:rPr>
        <w:fldChar w:fldCharType="end"/>
      </w:r>
      <w:r w:rsidR="00DA2C9A">
        <w:rPr>
          <w:sz w:val="28"/>
        </w:rPr>
        <w:br w:type="page"/>
      </w:r>
      <w:bookmarkStart w:id="0" w:name="_Toc412813699"/>
      <w:r w:rsidR="000A488B" w:rsidRPr="00E57198">
        <w:lastRenderedPageBreak/>
        <w:t xml:space="preserve">1.0 </w:t>
      </w:r>
      <w:r w:rsidR="009F385C">
        <w:t>HARMONIZIRAN</w:t>
      </w:r>
      <w:r w:rsidR="006934B0">
        <w:t>I</w:t>
      </w:r>
      <w:r w:rsidR="009F385C">
        <w:t xml:space="preserve"> SISTEM</w:t>
      </w:r>
      <w:bookmarkEnd w:id="0"/>
    </w:p>
    <w:p w14:paraId="7D5953B0" w14:textId="77777777" w:rsidR="009F385C" w:rsidRPr="009F385C" w:rsidRDefault="009F385C" w:rsidP="009F385C">
      <w:pPr>
        <w:jc w:val="both"/>
        <w:rPr>
          <w:lang w:val="sl-SI"/>
        </w:rPr>
      </w:pPr>
    </w:p>
    <w:p w14:paraId="66EC7588" w14:textId="2E34AF05" w:rsidR="00747EEE" w:rsidRDefault="009F385C" w:rsidP="00A42E2A">
      <w:pPr>
        <w:jc w:val="both"/>
        <w:rPr>
          <w:lang w:val="sl-SI"/>
        </w:rPr>
      </w:pPr>
      <w:r w:rsidRPr="009F385C">
        <w:rPr>
          <w:lang w:val="sl-SI"/>
        </w:rPr>
        <w:t>Nomenklatura</w:t>
      </w:r>
      <w:r w:rsidR="00D624B8">
        <w:rPr>
          <w:lang w:val="sl-SI"/>
        </w:rPr>
        <w:t xml:space="preserve"> harmoniziranega sistema</w:t>
      </w:r>
      <w:r w:rsidRPr="009F385C">
        <w:rPr>
          <w:lang w:val="sl-SI"/>
        </w:rPr>
        <w:t>, ki jo ureja</w:t>
      </w:r>
      <w:r w:rsidR="00235610">
        <w:rPr>
          <w:lang w:val="sl-SI"/>
        </w:rPr>
        <w:t xml:space="preserve"> </w:t>
      </w:r>
      <w:hyperlink r:id="rId11" w:history="1">
        <w:r w:rsidRPr="001A0026">
          <w:rPr>
            <w:rStyle w:val="Hiperpovezava"/>
            <w:lang w:val="sl-SI"/>
          </w:rPr>
          <w:t>Mednarodna konvencija o harmoniziranem sistemu za poimenovanje in označevanje blaga</w:t>
        </w:r>
      </w:hyperlink>
      <w:r w:rsidR="00210CC1">
        <w:rPr>
          <w:lang w:val="sl-SI"/>
        </w:rPr>
        <w:t xml:space="preserve"> (angl. </w:t>
      </w:r>
      <w:proofErr w:type="spellStart"/>
      <w:r w:rsidR="00210CC1" w:rsidRPr="00C17FBF">
        <w:rPr>
          <w:i/>
          <w:lang w:val="sl-SI"/>
        </w:rPr>
        <w:t>International</w:t>
      </w:r>
      <w:proofErr w:type="spellEnd"/>
      <w:r w:rsidR="00210CC1" w:rsidRPr="00C17FBF">
        <w:rPr>
          <w:i/>
          <w:lang w:val="sl-SI"/>
        </w:rPr>
        <w:t xml:space="preserve"> </w:t>
      </w:r>
      <w:proofErr w:type="spellStart"/>
      <w:r w:rsidR="00210CC1" w:rsidRPr="00C17FBF">
        <w:rPr>
          <w:i/>
          <w:lang w:val="sl-SI"/>
        </w:rPr>
        <w:t>Convention</w:t>
      </w:r>
      <w:proofErr w:type="spellEnd"/>
      <w:r w:rsidR="00210CC1" w:rsidRPr="00C17FBF">
        <w:rPr>
          <w:i/>
          <w:lang w:val="sl-SI"/>
        </w:rPr>
        <w:t xml:space="preserve"> on</w:t>
      </w:r>
      <w:r w:rsidR="00210CC1" w:rsidRPr="00C17FBF">
        <w:rPr>
          <w:lang w:val="sl-SI"/>
        </w:rPr>
        <w:t xml:space="preserve"> </w:t>
      </w:r>
      <w:proofErr w:type="spellStart"/>
      <w:r w:rsidR="00210CC1" w:rsidRPr="00954915">
        <w:rPr>
          <w:i/>
          <w:lang w:val="sl-SI"/>
        </w:rPr>
        <w:t>the</w:t>
      </w:r>
      <w:proofErr w:type="spellEnd"/>
      <w:r w:rsidR="00210CC1" w:rsidRPr="00C17FBF">
        <w:rPr>
          <w:lang w:val="sl-SI"/>
        </w:rPr>
        <w:t xml:space="preserve"> </w:t>
      </w:r>
      <w:proofErr w:type="spellStart"/>
      <w:r w:rsidR="00210CC1" w:rsidRPr="00C17FBF">
        <w:rPr>
          <w:i/>
          <w:lang w:val="sl-SI"/>
        </w:rPr>
        <w:t>Harmonized</w:t>
      </w:r>
      <w:proofErr w:type="spellEnd"/>
      <w:r w:rsidR="00210CC1" w:rsidRPr="00C17FBF">
        <w:rPr>
          <w:i/>
          <w:lang w:val="sl-SI"/>
        </w:rPr>
        <w:t xml:space="preserve"> </w:t>
      </w:r>
      <w:proofErr w:type="spellStart"/>
      <w:r w:rsidR="00210CC1" w:rsidRPr="00C17FBF">
        <w:rPr>
          <w:i/>
          <w:lang w:val="sl-SI"/>
        </w:rPr>
        <w:t>Commodity</w:t>
      </w:r>
      <w:proofErr w:type="spellEnd"/>
      <w:r w:rsidR="00210CC1" w:rsidRPr="00C17FBF">
        <w:rPr>
          <w:i/>
          <w:lang w:val="sl-SI"/>
        </w:rPr>
        <w:t xml:space="preserve"> </w:t>
      </w:r>
      <w:proofErr w:type="spellStart"/>
      <w:r w:rsidR="00210CC1" w:rsidRPr="00C17FBF">
        <w:rPr>
          <w:i/>
          <w:lang w:val="sl-SI"/>
        </w:rPr>
        <w:t>Description</w:t>
      </w:r>
      <w:proofErr w:type="spellEnd"/>
      <w:r w:rsidR="00210CC1" w:rsidRPr="00C17FBF">
        <w:rPr>
          <w:i/>
          <w:lang w:val="sl-SI"/>
        </w:rPr>
        <w:t xml:space="preserve"> </w:t>
      </w:r>
      <w:proofErr w:type="spellStart"/>
      <w:r w:rsidR="00210CC1" w:rsidRPr="00C17FBF">
        <w:rPr>
          <w:i/>
          <w:lang w:val="sl-SI"/>
        </w:rPr>
        <w:t>and</w:t>
      </w:r>
      <w:proofErr w:type="spellEnd"/>
      <w:r w:rsidR="00210CC1" w:rsidRPr="00C17FBF">
        <w:rPr>
          <w:i/>
          <w:lang w:val="sl-SI"/>
        </w:rPr>
        <w:t xml:space="preserve"> </w:t>
      </w:r>
      <w:proofErr w:type="spellStart"/>
      <w:r w:rsidR="00210CC1" w:rsidRPr="00C17FBF">
        <w:rPr>
          <w:i/>
          <w:lang w:val="sl-SI"/>
        </w:rPr>
        <w:t>Coding</w:t>
      </w:r>
      <w:proofErr w:type="spellEnd"/>
      <w:r w:rsidR="00210CC1" w:rsidRPr="00C17FBF">
        <w:rPr>
          <w:i/>
          <w:lang w:val="sl-SI"/>
        </w:rPr>
        <w:t xml:space="preserve"> </w:t>
      </w:r>
      <w:proofErr w:type="spellStart"/>
      <w:r w:rsidR="00210CC1" w:rsidRPr="00C17FBF">
        <w:rPr>
          <w:i/>
          <w:lang w:val="sl-SI"/>
        </w:rPr>
        <w:t>System</w:t>
      </w:r>
      <w:proofErr w:type="spellEnd"/>
      <w:r w:rsidR="00210CC1" w:rsidRPr="006121F1">
        <w:rPr>
          <w:lang w:val="sl-SI"/>
        </w:rPr>
        <w:t>)</w:t>
      </w:r>
      <w:r w:rsidRPr="009F385C">
        <w:rPr>
          <w:lang w:val="sl-SI"/>
        </w:rPr>
        <w:t>, znana kot “harmoniziran</w:t>
      </w:r>
      <w:r w:rsidR="006934B0">
        <w:rPr>
          <w:lang w:val="sl-SI"/>
        </w:rPr>
        <w:t>i</w:t>
      </w:r>
      <w:r w:rsidRPr="009F385C">
        <w:rPr>
          <w:lang w:val="sl-SI"/>
        </w:rPr>
        <w:t xml:space="preserve"> sistem” ali krajše HS, je mednarodna večnamenska nomenklatura</w:t>
      </w:r>
      <w:r w:rsidR="00740B3F">
        <w:rPr>
          <w:lang w:val="sl-SI"/>
        </w:rPr>
        <w:t xml:space="preserve"> blaga,</w:t>
      </w:r>
      <w:r w:rsidRPr="009F385C">
        <w:rPr>
          <w:lang w:val="sl-SI"/>
        </w:rPr>
        <w:t xml:space="preserve"> ki je bila oblikovana pod okriljem </w:t>
      </w:r>
      <w:hyperlink r:id="rId12" w:history="1">
        <w:r w:rsidRPr="001A0026">
          <w:rPr>
            <w:rStyle w:val="Hiperpovezava"/>
            <w:lang w:val="sl-SI"/>
          </w:rPr>
          <w:t>Svetovne carinske organizacije (SCO)</w:t>
        </w:r>
      </w:hyperlink>
      <w:r w:rsidR="00740B3F">
        <w:rPr>
          <w:lang w:val="sl-SI"/>
        </w:rPr>
        <w:t xml:space="preserve"> (angl. </w:t>
      </w:r>
      <w:proofErr w:type="spellStart"/>
      <w:r w:rsidR="00740B3F" w:rsidRPr="00740B3F">
        <w:rPr>
          <w:i/>
          <w:lang w:val="sl-SI"/>
        </w:rPr>
        <w:t>World</w:t>
      </w:r>
      <w:proofErr w:type="spellEnd"/>
      <w:r w:rsidR="00740B3F" w:rsidRPr="00740B3F">
        <w:rPr>
          <w:i/>
          <w:lang w:val="sl-SI"/>
        </w:rPr>
        <w:t xml:space="preserve"> </w:t>
      </w:r>
      <w:r w:rsidR="00673009">
        <w:rPr>
          <w:i/>
          <w:lang w:val="sl-SI"/>
        </w:rPr>
        <w:t>C</w:t>
      </w:r>
      <w:r w:rsidR="00740B3F" w:rsidRPr="00740B3F">
        <w:rPr>
          <w:i/>
          <w:lang w:val="sl-SI"/>
        </w:rPr>
        <w:t xml:space="preserve">ustoms </w:t>
      </w:r>
      <w:proofErr w:type="spellStart"/>
      <w:r w:rsidR="00740B3F" w:rsidRPr="00740B3F">
        <w:rPr>
          <w:i/>
          <w:lang w:val="sl-SI"/>
        </w:rPr>
        <w:t>Organization</w:t>
      </w:r>
      <w:proofErr w:type="spellEnd"/>
      <w:r w:rsidR="00740B3F" w:rsidRPr="00740B3F">
        <w:rPr>
          <w:i/>
          <w:lang w:val="sl-SI"/>
        </w:rPr>
        <w:t xml:space="preserve"> (WCO)</w:t>
      </w:r>
      <w:r w:rsidR="00740B3F">
        <w:rPr>
          <w:lang w:val="sl-SI"/>
        </w:rPr>
        <w:t>).</w:t>
      </w:r>
    </w:p>
    <w:p w14:paraId="1865C025" w14:textId="77777777" w:rsidR="00747EEE" w:rsidRDefault="00747EEE" w:rsidP="00A42E2A">
      <w:pPr>
        <w:jc w:val="both"/>
        <w:rPr>
          <w:lang w:val="sl-SI"/>
        </w:rPr>
      </w:pPr>
    </w:p>
    <w:p w14:paraId="128907D6" w14:textId="77777777" w:rsidR="009F385C" w:rsidRPr="009F385C" w:rsidRDefault="00747EEE" w:rsidP="00A42E2A">
      <w:pPr>
        <w:jc w:val="both"/>
        <w:rPr>
          <w:lang w:val="sl-SI"/>
        </w:rPr>
      </w:pPr>
      <w:r w:rsidRPr="00747EEE">
        <w:rPr>
          <w:lang w:val="sl-SI"/>
        </w:rPr>
        <w:t>Konvencija o</w:t>
      </w:r>
      <w:r w:rsidR="008210F7">
        <w:rPr>
          <w:lang w:val="sl-SI"/>
        </w:rPr>
        <w:t xml:space="preserve"> HS je bila sprejeta v Bruslju </w:t>
      </w:r>
      <w:r w:rsidRPr="00747EEE">
        <w:rPr>
          <w:lang w:val="sl-SI"/>
        </w:rPr>
        <w:t>in stopila v veljavo dne 1. januarja 1988. HS je predstavljen v aneksu h konvenciji in je sestavni del konvencije.</w:t>
      </w:r>
    </w:p>
    <w:p w14:paraId="2DFE5FA8" w14:textId="77777777" w:rsidR="009F385C" w:rsidRDefault="009F385C" w:rsidP="00A42E2A">
      <w:pPr>
        <w:jc w:val="both"/>
        <w:rPr>
          <w:lang w:val="sl-SI"/>
        </w:rPr>
      </w:pPr>
    </w:p>
    <w:p w14:paraId="12A86B61" w14:textId="77777777" w:rsidR="007B2C09" w:rsidRDefault="00D624B8" w:rsidP="00A42E2A">
      <w:pPr>
        <w:jc w:val="both"/>
        <w:rPr>
          <w:lang w:val="sl-SI"/>
        </w:rPr>
      </w:pPr>
      <w:r w:rsidRPr="00D624B8">
        <w:rPr>
          <w:lang w:val="sl-SI"/>
        </w:rPr>
        <w:t xml:space="preserve">Nomenklatura HS s šestmestnimi oznakami blaga </w:t>
      </w:r>
      <w:r w:rsidR="007B2C09">
        <w:rPr>
          <w:lang w:val="sl-SI"/>
        </w:rPr>
        <w:t>se uporablja:</w:t>
      </w:r>
    </w:p>
    <w:p w14:paraId="622C1651" w14:textId="77777777" w:rsidR="007B2C09" w:rsidRPr="007B2C09" w:rsidRDefault="007B2C09" w:rsidP="00A42E2A">
      <w:pPr>
        <w:numPr>
          <w:ilvl w:val="0"/>
          <w:numId w:val="10"/>
        </w:numPr>
        <w:jc w:val="both"/>
        <w:rPr>
          <w:lang w:val="sl-SI"/>
        </w:rPr>
      </w:pPr>
      <w:r w:rsidRPr="007B2C09">
        <w:rPr>
          <w:lang w:val="sl-SI"/>
        </w:rPr>
        <w:t xml:space="preserve">kot osnova za </w:t>
      </w:r>
      <w:r>
        <w:rPr>
          <w:lang w:val="sl-SI"/>
        </w:rPr>
        <w:t xml:space="preserve">nacionalne </w:t>
      </w:r>
      <w:r w:rsidR="00740B3F">
        <w:rPr>
          <w:lang w:val="sl-SI"/>
        </w:rPr>
        <w:t>nomenklature blaga</w:t>
      </w:r>
    </w:p>
    <w:p w14:paraId="50611677" w14:textId="77777777" w:rsidR="007B2C09" w:rsidRPr="007B2C09" w:rsidRDefault="007B2C09" w:rsidP="00A42E2A">
      <w:pPr>
        <w:numPr>
          <w:ilvl w:val="0"/>
          <w:numId w:val="10"/>
        </w:numPr>
        <w:jc w:val="both"/>
        <w:rPr>
          <w:lang w:val="sl-SI"/>
        </w:rPr>
      </w:pPr>
      <w:r w:rsidRPr="007B2C09">
        <w:rPr>
          <w:lang w:val="sl-SI"/>
        </w:rPr>
        <w:t>kot osnova za zbiranje mednarodne trgovinske statistike</w:t>
      </w:r>
    </w:p>
    <w:p w14:paraId="37A7A26E" w14:textId="77777777" w:rsidR="007B2C09" w:rsidRPr="007B2C09" w:rsidRDefault="007B2C09" w:rsidP="00A42E2A">
      <w:pPr>
        <w:numPr>
          <w:ilvl w:val="0"/>
          <w:numId w:val="10"/>
        </w:numPr>
        <w:jc w:val="both"/>
        <w:rPr>
          <w:lang w:val="sl-SI"/>
        </w:rPr>
      </w:pPr>
      <w:r w:rsidRPr="007B2C09">
        <w:rPr>
          <w:lang w:val="sl-SI"/>
        </w:rPr>
        <w:t>kot osnova za pravila o poreklu</w:t>
      </w:r>
    </w:p>
    <w:p w14:paraId="350F2F93" w14:textId="77777777" w:rsidR="007B2C09" w:rsidRPr="007B2C09" w:rsidRDefault="007B2C09" w:rsidP="00A42E2A">
      <w:pPr>
        <w:numPr>
          <w:ilvl w:val="0"/>
          <w:numId w:val="10"/>
        </w:numPr>
        <w:jc w:val="both"/>
        <w:rPr>
          <w:lang w:val="sl-SI"/>
        </w:rPr>
      </w:pPr>
      <w:r w:rsidRPr="007B2C09">
        <w:rPr>
          <w:lang w:val="sl-SI"/>
        </w:rPr>
        <w:t>kot osnova za trgovinska pogajanja</w:t>
      </w:r>
    </w:p>
    <w:p w14:paraId="22A0FD89" w14:textId="77777777" w:rsidR="007B2C09" w:rsidRPr="007B2C09" w:rsidRDefault="00AA768D" w:rsidP="00A42E2A">
      <w:pPr>
        <w:numPr>
          <w:ilvl w:val="0"/>
          <w:numId w:val="10"/>
        </w:numPr>
        <w:jc w:val="both"/>
        <w:rPr>
          <w:lang w:val="sl-SI"/>
        </w:rPr>
      </w:pPr>
      <w:r>
        <w:rPr>
          <w:lang w:val="sl-SI"/>
        </w:rPr>
        <w:t xml:space="preserve">kot osnova </w:t>
      </w:r>
      <w:r w:rsidR="007B2C09" w:rsidRPr="007B2C09">
        <w:rPr>
          <w:lang w:val="sl-SI"/>
        </w:rPr>
        <w:t>za zbiranje nacionalnih davkov</w:t>
      </w:r>
    </w:p>
    <w:p w14:paraId="152B3029" w14:textId="77777777" w:rsidR="007B2C09" w:rsidRPr="007B2C09" w:rsidRDefault="00AA768D" w:rsidP="00A42E2A">
      <w:pPr>
        <w:numPr>
          <w:ilvl w:val="0"/>
          <w:numId w:val="10"/>
        </w:numPr>
        <w:jc w:val="both"/>
        <w:rPr>
          <w:lang w:val="sl-SI"/>
        </w:rPr>
      </w:pPr>
      <w:r>
        <w:rPr>
          <w:lang w:val="sl-SI"/>
        </w:rPr>
        <w:t xml:space="preserve">kot osnova </w:t>
      </w:r>
      <w:r w:rsidR="007B2C09" w:rsidRPr="007B2C09">
        <w:rPr>
          <w:lang w:val="sl-SI"/>
        </w:rPr>
        <w:t>za transportne tarife in statistike</w:t>
      </w:r>
    </w:p>
    <w:p w14:paraId="34E361FF" w14:textId="77777777" w:rsidR="007B2C09" w:rsidRPr="007B2C09" w:rsidRDefault="00AA768D" w:rsidP="00A42E2A">
      <w:pPr>
        <w:numPr>
          <w:ilvl w:val="0"/>
          <w:numId w:val="10"/>
        </w:numPr>
        <w:jc w:val="both"/>
        <w:rPr>
          <w:lang w:val="sl-SI"/>
        </w:rPr>
      </w:pPr>
      <w:r>
        <w:rPr>
          <w:lang w:val="sl-SI"/>
        </w:rPr>
        <w:t xml:space="preserve">kot podlaga </w:t>
      </w:r>
      <w:r w:rsidR="007B2C09" w:rsidRPr="007B2C09">
        <w:rPr>
          <w:lang w:val="sl-SI"/>
        </w:rPr>
        <w:t>za spremljanje blaga pod nadzorom (na primer odpadki, mamila, kemično orožje, ozonu škodljive substance, zaščitene vrste)</w:t>
      </w:r>
    </w:p>
    <w:p w14:paraId="123349F5" w14:textId="77777777" w:rsidR="007B2C09" w:rsidRDefault="007B2C09" w:rsidP="00A42E2A">
      <w:pPr>
        <w:numPr>
          <w:ilvl w:val="0"/>
          <w:numId w:val="10"/>
        </w:numPr>
        <w:jc w:val="both"/>
        <w:rPr>
          <w:lang w:val="sl-SI"/>
        </w:rPr>
      </w:pPr>
      <w:r w:rsidRPr="007B2C09">
        <w:rPr>
          <w:lang w:val="sl-SI"/>
        </w:rPr>
        <w:t xml:space="preserve">kot </w:t>
      </w:r>
      <w:r w:rsidR="00AA768D">
        <w:rPr>
          <w:lang w:val="sl-SI"/>
        </w:rPr>
        <w:t>bistven</w:t>
      </w:r>
      <w:r w:rsidRPr="007B2C09">
        <w:rPr>
          <w:lang w:val="sl-SI"/>
        </w:rPr>
        <w:t xml:space="preserve"> element pri carinski kontroli in postopkih, vključno z analizo tveganja in informacijsko tehnologijo</w:t>
      </w:r>
    </w:p>
    <w:p w14:paraId="54A8F912" w14:textId="77777777" w:rsidR="00F16C7C" w:rsidRPr="007B2C09" w:rsidRDefault="00F16C7C" w:rsidP="00A42E2A">
      <w:pPr>
        <w:ind w:left="360"/>
        <w:jc w:val="both"/>
        <w:rPr>
          <w:lang w:val="sl-SI"/>
        </w:rPr>
      </w:pPr>
    </w:p>
    <w:p w14:paraId="716802CD" w14:textId="362B1EDF" w:rsidR="007B2C09" w:rsidRDefault="00F16C7C" w:rsidP="00A42E2A">
      <w:pPr>
        <w:jc w:val="both"/>
        <w:rPr>
          <w:lang w:val="sl-SI"/>
        </w:rPr>
      </w:pPr>
      <w:r w:rsidRPr="00F16C7C">
        <w:rPr>
          <w:lang w:val="sl-SI"/>
        </w:rPr>
        <w:t>H</w:t>
      </w:r>
      <w:r w:rsidR="00954915">
        <w:rPr>
          <w:lang w:val="sl-SI"/>
        </w:rPr>
        <w:t>armoniziran</w:t>
      </w:r>
      <w:r w:rsidR="006934B0">
        <w:rPr>
          <w:lang w:val="sl-SI"/>
        </w:rPr>
        <w:t>i</w:t>
      </w:r>
      <w:r w:rsidR="00954915">
        <w:rPr>
          <w:lang w:val="sl-SI"/>
        </w:rPr>
        <w:t xml:space="preserve"> sistem</w:t>
      </w:r>
      <w:r w:rsidRPr="00F16C7C">
        <w:rPr>
          <w:lang w:val="sl-SI"/>
        </w:rPr>
        <w:t xml:space="preserve"> ima torej več namenov uporabe, vendar ostaja njegova primarna vloga uporaba za uvrščanje blaga </w:t>
      </w:r>
      <w:r w:rsidR="00A42E2A">
        <w:rPr>
          <w:lang w:val="sl-SI"/>
        </w:rPr>
        <w:t xml:space="preserve">v nomenklaturo </w:t>
      </w:r>
      <w:r w:rsidRPr="00F16C7C">
        <w:rPr>
          <w:lang w:val="sl-SI"/>
        </w:rPr>
        <w:t xml:space="preserve">za </w:t>
      </w:r>
      <w:r w:rsidR="00A42E2A">
        <w:rPr>
          <w:lang w:val="sl-SI"/>
        </w:rPr>
        <w:t>obračun</w:t>
      </w:r>
      <w:r w:rsidRPr="00F16C7C">
        <w:rPr>
          <w:lang w:val="sl-SI"/>
        </w:rPr>
        <w:t xml:space="preserve"> carinskih dajatev</w:t>
      </w:r>
      <w:r w:rsidR="00A42E2A">
        <w:rPr>
          <w:lang w:val="sl-SI"/>
        </w:rPr>
        <w:t xml:space="preserve"> in</w:t>
      </w:r>
      <w:r w:rsidRPr="00F16C7C">
        <w:rPr>
          <w:lang w:val="sl-SI"/>
        </w:rPr>
        <w:t xml:space="preserve"> davkov</w:t>
      </w:r>
      <w:r w:rsidR="00A42E2A">
        <w:rPr>
          <w:lang w:val="sl-SI"/>
        </w:rPr>
        <w:t xml:space="preserve"> ter zbiranje statističnih podatkov o mednarodni trgovini</w:t>
      </w:r>
      <w:r w:rsidRPr="00F16C7C">
        <w:rPr>
          <w:lang w:val="sl-SI"/>
        </w:rPr>
        <w:t>.</w:t>
      </w:r>
    </w:p>
    <w:p w14:paraId="3E405574" w14:textId="77777777" w:rsidR="00F16C7C" w:rsidRDefault="00F16C7C" w:rsidP="00A42E2A">
      <w:pPr>
        <w:jc w:val="both"/>
        <w:rPr>
          <w:lang w:val="sl-SI"/>
        </w:rPr>
      </w:pPr>
    </w:p>
    <w:p w14:paraId="451B1B08" w14:textId="77777777" w:rsidR="009F385C" w:rsidRDefault="007B2C09" w:rsidP="00A42E2A">
      <w:pPr>
        <w:jc w:val="both"/>
        <w:rPr>
          <w:lang w:val="sl-SI"/>
        </w:rPr>
      </w:pPr>
      <w:r w:rsidRPr="00F762C1">
        <w:rPr>
          <w:lang w:val="sl-SI"/>
        </w:rPr>
        <w:t>N</w:t>
      </w:r>
      <w:r w:rsidR="009F385C" w:rsidRPr="00F762C1">
        <w:rPr>
          <w:lang w:val="sl-SI"/>
        </w:rPr>
        <w:t>omenklaturo HS</w:t>
      </w:r>
      <w:r w:rsidR="009F385C" w:rsidRPr="009F385C">
        <w:rPr>
          <w:lang w:val="sl-SI"/>
        </w:rPr>
        <w:t xml:space="preserve"> uporablja več kot 2</w:t>
      </w:r>
      <w:r w:rsidR="008B1105">
        <w:rPr>
          <w:lang w:val="sl-SI"/>
        </w:rPr>
        <w:t>1</w:t>
      </w:r>
      <w:r w:rsidR="009F385C" w:rsidRPr="009F385C">
        <w:rPr>
          <w:lang w:val="sl-SI"/>
        </w:rPr>
        <w:t>0 držav, unij oziroma mednarodnih organizacij (</w:t>
      </w:r>
      <w:r w:rsidR="00740B3F">
        <w:rPr>
          <w:lang w:val="sl-SI"/>
        </w:rPr>
        <w:t>na primer</w:t>
      </w:r>
      <w:r w:rsidR="009F385C" w:rsidRPr="009F385C">
        <w:rPr>
          <w:lang w:val="sl-SI"/>
        </w:rPr>
        <w:t xml:space="preserve"> S</w:t>
      </w:r>
      <w:r w:rsidR="00740B3F">
        <w:rPr>
          <w:lang w:val="sl-SI"/>
        </w:rPr>
        <w:t>vetovna trgovinska organizacija (S</w:t>
      </w:r>
      <w:r w:rsidR="009F385C" w:rsidRPr="009F385C">
        <w:rPr>
          <w:lang w:val="sl-SI"/>
        </w:rPr>
        <w:t>TO</w:t>
      </w:r>
      <w:r w:rsidR="00740B3F">
        <w:rPr>
          <w:lang w:val="sl-SI"/>
        </w:rPr>
        <w:t>)</w:t>
      </w:r>
      <w:r w:rsidR="009F385C" w:rsidRPr="009F385C">
        <w:rPr>
          <w:lang w:val="sl-SI"/>
        </w:rPr>
        <w:t xml:space="preserve">, </w:t>
      </w:r>
      <w:r w:rsidR="00740B3F">
        <w:rPr>
          <w:lang w:val="sl-SI"/>
        </w:rPr>
        <w:t>Organizacija združenih narodov (</w:t>
      </w:r>
      <w:r w:rsidR="009F385C" w:rsidRPr="009F385C">
        <w:rPr>
          <w:lang w:val="sl-SI"/>
        </w:rPr>
        <w:t>OZN)</w:t>
      </w:r>
      <w:r w:rsidR="00740B3F">
        <w:rPr>
          <w:lang w:val="sl-SI"/>
        </w:rPr>
        <w:t>)</w:t>
      </w:r>
      <w:r w:rsidR="00D624B8">
        <w:rPr>
          <w:lang w:val="sl-SI"/>
        </w:rPr>
        <w:t>.</w:t>
      </w:r>
      <w:r w:rsidR="009F385C" w:rsidRPr="009F385C">
        <w:rPr>
          <w:lang w:val="sl-SI"/>
        </w:rPr>
        <w:t xml:space="preserve"> Tudi kombinirana nomenklatura, ki </w:t>
      </w:r>
      <w:r w:rsidR="00E2546D">
        <w:rPr>
          <w:lang w:val="sl-SI"/>
        </w:rPr>
        <w:t>jo</w:t>
      </w:r>
      <w:r w:rsidR="009F385C" w:rsidRPr="009F385C">
        <w:rPr>
          <w:lang w:val="sl-SI"/>
        </w:rPr>
        <w:t xml:space="preserve"> uporablja</w:t>
      </w:r>
      <w:r w:rsidR="00E2546D">
        <w:rPr>
          <w:lang w:val="sl-SI"/>
        </w:rPr>
        <w:t>mo</w:t>
      </w:r>
      <w:r w:rsidR="009F385C" w:rsidRPr="009F385C">
        <w:rPr>
          <w:lang w:val="sl-SI"/>
        </w:rPr>
        <w:t xml:space="preserve"> v Evropski uniji, temelji na nomenklaturi</w:t>
      </w:r>
      <w:r w:rsidR="00740B3F">
        <w:rPr>
          <w:lang w:val="sl-SI"/>
        </w:rPr>
        <w:t xml:space="preserve"> HS</w:t>
      </w:r>
      <w:r w:rsidR="009F385C" w:rsidRPr="009F385C">
        <w:rPr>
          <w:lang w:val="sl-SI"/>
        </w:rPr>
        <w:t xml:space="preserve">. </w:t>
      </w:r>
      <w:r w:rsidR="00954915">
        <w:rPr>
          <w:lang w:val="sl-SI"/>
        </w:rPr>
        <w:t>Več kot</w:t>
      </w:r>
      <w:r w:rsidR="009F385C" w:rsidRPr="009F385C">
        <w:rPr>
          <w:lang w:val="sl-SI"/>
        </w:rPr>
        <w:t xml:space="preserve"> 98 % blaga v mednarodni trgovini se uvrš</w:t>
      </w:r>
      <w:r w:rsidR="009F385C">
        <w:rPr>
          <w:lang w:val="sl-SI"/>
        </w:rPr>
        <w:t xml:space="preserve">ča v skladu z nomenklaturo HS. </w:t>
      </w:r>
    </w:p>
    <w:p w14:paraId="3BE8DE38" w14:textId="77777777" w:rsidR="001D15AE" w:rsidRPr="009F385C" w:rsidRDefault="001D15AE" w:rsidP="009F385C">
      <w:pPr>
        <w:jc w:val="both"/>
        <w:rPr>
          <w:lang w:val="sl-SI"/>
        </w:rPr>
      </w:pPr>
    </w:p>
    <w:p w14:paraId="6FA1DBCA" w14:textId="77777777" w:rsidR="007928FD" w:rsidRDefault="007928FD" w:rsidP="007928FD">
      <w:pPr>
        <w:jc w:val="both"/>
        <w:rPr>
          <w:lang w:val="sl-SI"/>
        </w:rPr>
      </w:pPr>
    </w:p>
    <w:p w14:paraId="2F79BF3B" w14:textId="77777777" w:rsidR="0011536A" w:rsidRDefault="0011536A" w:rsidP="0011536A">
      <w:pPr>
        <w:pStyle w:val="FURSnaslov1"/>
      </w:pPr>
      <w:bookmarkStart w:id="1" w:name="_Toc412813700"/>
      <w:r>
        <w:t>2</w:t>
      </w:r>
      <w:r w:rsidRPr="00E57198">
        <w:t xml:space="preserve">.0 </w:t>
      </w:r>
      <w:r>
        <w:t>VSEBINA NOMENKLATURE HARMONIZIRANEGA SISTEMA</w:t>
      </w:r>
      <w:bookmarkEnd w:id="1"/>
      <w:r>
        <w:t xml:space="preserve"> </w:t>
      </w:r>
    </w:p>
    <w:p w14:paraId="6CAA152B" w14:textId="77777777" w:rsidR="0011536A" w:rsidRDefault="0011536A" w:rsidP="007928FD">
      <w:pPr>
        <w:jc w:val="both"/>
        <w:rPr>
          <w:b/>
          <w:sz w:val="24"/>
          <w:lang w:val="sl-SI"/>
        </w:rPr>
      </w:pPr>
    </w:p>
    <w:p w14:paraId="53FB118C" w14:textId="77777777" w:rsidR="004E1615" w:rsidRDefault="00756C8B" w:rsidP="009F385C">
      <w:pPr>
        <w:jc w:val="both"/>
        <w:rPr>
          <w:lang w:val="sl-SI"/>
        </w:rPr>
      </w:pPr>
      <w:hyperlink r:id="rId13" w:history="1">
        <w:r w:rsidR="001D15AE" w:rsidRPr="001D15AE">
          <w:rPr>
            <w:rStyle w:val="Hiperpovezava"/>
            <w:lang w:val="sl-SI"/>
          </w:rPr>
          <w:t>Nomenklatura HS</w:t>
        </w:r>
      </w:hyperlink>
      <w:r w:rsidR="001D15AE">
        <w:rPr>
          <w:lang w:val="sl-SI"/>
        </w:rPr>
        <w:t xml:space="preserve"> </w:t>
      </w:r>
      <w:r w:rsidR="009F385C" w:rsidRPr="009F385C">
        <w:rPr>
          <w:lang w:val="sl-SI"/>
        </w:rPr>
        <w:t xml:space="preserve">vsebuje okoli 5000 skupin blaga s </w:t>
      </w:r>
      <w:r w:rsidR="009F385C" w:rsidRPr="004E1615">
        <w:rPr>
          <w:lang w:val="sl-SI"/>
        </w:rPr>
        <w:t>pripadajočimi šestmestnimi številčnimi oznakami, ki so razvrščene v skladu</w:t>
      </w:r>
      <w:r w:rsidR="004E1615" w:rsidRPr="004E1615">
        <w:rPr>
          <w:lang w:val="sl-SI"/>
        </w:rPr>
        <w:t xml:space="preserve"> s pravno in logično strukturo:</w:t>
      </w:r>
    </w:p>
    <w:p w14:paraId="61DD1CAC" w14:textId="77777777" w:rsidR="004E1615" w:rsidRPr="004E1615" w:rsidRDefault="004E1615" w:rsidP="004E1615">
      <w:pPr>
        <w:numPr>
          <w:ilvl w:val="0"/>
          <w:numId w:val="9"/>
        </w:numPr>
        <w:jc w:val="both"/>
        <w:rPr>
          <w:lang w:val="sl-SI"/>
        </w:rPr>
      </w:pPr>
      <w:r>
        <w:rPr>
          <w:lang w:val="sl-SI"/>
        </w:rPr>
        <w:t>p</w:t>
      </w:r>
      <w:r w:rsidRPr="004E1615">
        <w:rPr>
          <w:lang w:val="sl-SI"/>
        </w:rPr>
        <w:t xml:space="preserve">rva štiri mesta številčne oznake se nanašajo na tarifne številke </w:t>
      </w:r>
      <w:r w:rsidR="00673009">
        <w:rPr>
          <w:lang w:val="sl-SI"/>
        </w:rPr>
        <w:t>HS</w:t>
      </w:r>
      <w:r w:rsidR="00690689">
        <w:rPr>
          <w:lang w:val="sl-SI"/>
        </w:rPr>
        <w:t>,</w:t>
      </w:r>
      <w:r w:rsidRPr="004E1615">
        <w:rPr>
          <w:lang w:val="sl-SI"/>
        </w:rPr>
        <w:t xml:space="preserve"> </w:t>
      </w:r>
    </w:p>
    <w:p w14:paraId="7AA1D323" w14:textId="77777777" w:rsidR="004E1615" w:rsidRPr="004E1615" w:rsidRDefault="004E1615" w:rsidP="004E1615">
      <w:pPr>
        <w:numPr>
          <w:ilvl w:val="0"/>
          <w:numId w:val="9"/>
        </w:numPr>
        <w:jc w:val="both"/>
        <w:rPr>
          <w:lang w:val="sl-SI"/>
        </w:rPr>
      </w:pPr>
      <w:r>
        <w:rPr>
          <w:lang w:val="sl-SI"/>
        </w:rPr>
        <w:t>p</w:t>
      </w:r>
      <w:r w:rsidRPr="004E1615">
        <w:rPr>
          <w:lang w:val="sl-SI"/>
        </w:rPr>
        <w:t>eto in šesto mesto označujeta podštevilke HS.</w:t>
      </w:r>
    </w:p>
    <w:p w14:paraId="2D2DF20F" w14:textId="77777777" w:rsidR="007928FD" w:rsidRDefault="007928FD" w:rsidP="004E1615">
      <w:pPr>
        <w:jc w:val="both"/>
        <w:rPr>
          <w:lang w:val="sl-SI"/>
        </w:rPr>
      </w:pPr>
    </w:p>
    <w:p w14:paraId="56ABE52A" w14:textId="77777777" w:rsidR="006B26E9" w:rsidRPr="006B26E9" w:rsidRDefault="006B26E9" w:rsidP="006B26E9">
      <w:pPr>
        <w:jc w:val="both"/>
        <w:rPr>
          <w:lang w:val="sl-SI"/>
        </w:rPr>
      </w:pPr>
      <w:r w:rsidRPr="00F762C1">
        <w:rPr>
          <w:lang w:val="sl-SI"/>
        </w:rPr>
        <w:t>Nomenklatura HS</w:t>
      </w:r>
      <w:r w:rsidRPr="006B26E9">
        <w:rPr>
          <w:lang w:val="sl-SI"/>
        </w:rPr>
        <w:t xml:space="preserve"> je sestavljen</w:t>
      </w:r>
      <w:r>
        <w:rPr>
          <w:lang w:val="sl-SI"/>
        </w:rPr>
        <w:t>a</w:t>
      </w:r>
      <w:r w:rsidRPr="006B26E9">
        <w:rPr>
          <w:lang w:val="sl-SI"/>
        </w:rPr>
        <w:t xml:space="preserve"> iz:</w:t>
      </w:r>
    </w:p>
    <w:p w14:paraId="1B83738C" w14:textId="77777777" w:rsidR="00315399" w:rsidRDefault="006B26E9" w:rsidP="008C3E70">
      <w:pPr>
        <w:numPr>
          <w:ilvl w:val="0"/>
          <w:numId w:val="11"/>
        </w:numPr>
        <w:jc w:val="both"/>
        <w:rPr>
          <w:lang w:val="sl-SI"/>
        </w:rPr>
      </w:pPr>
      <w:r w:rsidRPr="00315399">
        <w:rPr>
          <w:lang w:val="sl-SI"/>
        </w:rPr>
        <w:t>splošnih pravil za uvrščanje blaga</w:t>
      </w:r>
      <w:r w:rsidR="00315399" w:rsidRPr="00315399">
        <w:rPr>
          <w:lang w:val="sl-SI"/>
        </w:rPr>
        <w:t>;</w:t>
      </w:r>
      <w:r w:rsidRPr="00315399">
        <w:rPr>
          <w:lang w:val="sl-SI"/>
        </w:rPr>
        <w:t xml:space="preserve"> </w:t>
      </w:r>
    </w:p>
    <w:p w14:paraId="1CF47BEE" w14:textId="77777777" w:rsidR="00315399" w:rsidRPr="00315399" w:rsidRDefault="008C3E70" w:rsidP="008C3E70">
      <w:pPr>
        <w:ind w:left="360"/>
        <w:jc w:val="both"/>
        <w:rPr>
          <w:lang w:val="sl-SI"/>
        </w:rPr>
      </w:pPr>
      <w:r>
        <w:rPr>
          <w:lang w:val="sl-SI"/>
        </w:rPr>
        <w:t>(</w:t>
      </w:r>
      <w:r w:rsidR="00315399" w:rsidRPr="00315399">
        <w:rPr>
          <w:lang w:val="sl-SI"/>
        </w:rPr>
        <w:t xml:space="preserve">Blago se mora v nomenklaturo HS jasno in nedvoumno uvrstiti v skladu s splošnimi pravili o uvrščanju. S temi pravili je zagotovljeno, da bo zadevni proizvod vedno uvrščen </w:t>
      </w:r>
      <w:r w:rsidR="00954915">
        <w:rPr>
          <w:lang w:val="sl-SI"/>
        </w:rPr>
        <w:t>pod</w:t>
      </w:r>
      <w:r w:rsidR="00315399" w:rsidRPr="00315399">
        <w:rPr>
          <w:lang w:val="sl-SI"/>
        </w:rPr>
        <w:t xml:space="preserve"> isto tarifno številko.</w:t>
      </w:r>
      <w:r>
        <w:rPr>
          <w:lang w:val="sl-SI"/>
        </w:rPr>
        <w:t>)</w:t>
      </w:r>
    </w:p>
    <w:p w14:paraId="6A432A88" w14:textId="77777777" w:rsidR="00315399" w:rsidRDefault="006B26E9" w:rsidP="008C3E70">
      <w:pPr>
        <w:numPr>
          <w:ilvl w:val="0"/>
          <w:numId w:val="11"/>
        </w:numPr>
        <w:jc w:val="both"/>
        <w:rPr>
          <w:lang w:val="sl-SI"/>
        </w:rPr>
      </w:pPr>
      <w:r w:rsidRPr="00315399">
        <w:rPr>
          <w:lang w:val="sl-SI"/>
        </w:rPr>
        <w:t>opomb k oddelkom in poglavjem ter opomb k tarifnim podštevilkam</w:t>
      </w:r>
      <w:r w:rsidR="00315399" w:rsidRPr="00315399">
        <w:rPr>
          <w:lang w:val="sl-SI"/>
        </w:rPr>
        <w:t>;</w:t>
      </w:r>
      <w:r w:rsidR="00315399">
        <w:rPr>
          <w:lang w:val="sl-SI"/>
        </w:rPr>
        <w:t xml:space="preserve"> </w:t>
      </w:r>
    </w:p>
    <w:p w14:paraId="2DC391C7" w14:textId="77777777" w:rsidR="00315399" w:rsidRPr="00315399" w:rsidRDefault="008C3E70" w:rsidP="008C3E70">
      <w:pPr>
        <w:ind w:left="360"/>
        <w:jc w:val="both"/>
        <w:rPr>
          <w:lang w:val="sl-SI"/>
        </w:rPr>
      </w:pPr>
      <w:r>
        <w:rPr>
          <w:lang w:val="sl-SI"/>
        </w:rPr>
        <w:t>(</w:t>
      </w:r>
      <w:r w:rsidR="00315399" w:rsidRPr="00315399">
        <w:rPr>
          <w:lang w:val="sl-SI"/>
        </w:rPr>
        <w:t xml:space="preserve">Namen opomb je, da natančno definirajo obseg in meje vsake tarifne številke/podštevilke, poglavja ali oddelka, da se izognemo </w:t>
      </w:r>
      <w:r w:rsidR="00673009">
        <w:rPr>
          <w:lang w:val="sl-SI"/>
        </w:rPr>
        <w:t>napačnemu</w:t>
      </w:r>
      <w:r w:rsidR="00315399" w:rsidRPr="00315399">
        <w:rPr>
          <w:lang w:val="sl-SI"/>
        </w:rPr>
        <w:t xml:space="preserve"> uvrščanj</w:t>
      </w:r>
      <w:r w:rsidR="00673009">
        <w:rPr>
          <w:lang w:val="sl-SI"/>
        </w:rPr>
        <w:t>u</w:t>
      </w:r>
      <w:r w:rsidR="00315399" w:rsidRPr="00315399">
        <w:rPr>
          <w:lang w:val="sl-SI"/>
        </w:rPr>
        <w:t>.</w:t>
      </w:r>
      <w:r>
        <w:rPr>
          <w:lang w:val="sl-SI"/>
        </w:rPr>
        <w:t>)</w:t>
      </w:r>
    </w:p>
    <w:p w14:paraId="42BC4820" w14:textId="77777777" w:rsidR="006B26E9" w:rsidRPr="006B26E9" w:rsidRDefault="006B26E9" w:rsidP="008C3E70">
      <w:pPr>
        <w:numPr>
          <w:ilvl w:val="0"/>
          <w:numId w:val="11"/>
        </w:numPr>
        <w:jc w:val="both"/>
        <w:rPr>
          <w:lang w:val="sl-SI"/>
        </w:rPr>
      </w:pPr>
      <w:r w:rsidRPr="006B26E9">
        <w:rPr>
          <w:lang w:val="sl-SI"/>
        </w:rPr>
        <w:t>sistematično urejenega seznama tarifnih številk, razdeljenega na tarifne podštevilke, kjer je to potrebno.</w:t>
      </w:r>
    </w:p>
    <w:p w14:paraId="4C27BC61" w14:textId="77777777" w:rsidR="008C3E70" w:rsidRDefault="008C3E70" w:rsidP="008210F7">
      <w:pPr>
        <w:jc w:val="both"/>
        <w:rPr>
          <w:lang w:val="sl-SI"/>
        </w:rPr>
      </w:pPr>
    </w:p>
    <w:p w14:paraId="2B72BD64" w14:textId="77777777" w:rsidR="00BA7152" w:rsidRDefault="00BA7152" w:rsidP="008210F7">
      <w:pPr>
        <w:jc w:val="both"/>
        <w:rPr>
          <w:lang w:val="sl-SI"/>
        </w:rPr>
      </w:pPr>
      <w:r w:rsidRPr="00BA7152">
        <w:rPr>
          <w:lang w:val="sl-SI"/>
        </w:rPr>
        <w:t xml:space="preserve">V </w:t>
      </w:r>
      <w:r w:rsidR="00954915">
        <w:rPr>
          <w:lang w:val="sl-SI"/>
        </w:rPr>
        <w:t>harmoniziranem sistemu</w:t>
      </w:r>
      <w:r w:rsidRPr="00BA7152">
        <w:rPr>
          <w:lang w:val="sl-SI"/>
        </w:rPr>
        <w:t xml:space="preserve"> so tarifne številke skupaj s svojimi podštevilkami organizirane v 96 poglavij, ki tvorijo 21 oddelkov</w:t>
      </w:r>
      <w:r>
        <w:rPr>
          <w:lang w:val="sl-SI"/>
        </w:rPr>
        <w:t xml:space="preserve"> (označenih z rimskimi številkami):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954915" w:rsidRPr="006934B0" w14:paraId="6896C8B1" w14:textId="77777777" w:rsidTr="00AE642C">
        <w:tc>
          <w:tcPr>
            <w:tcW w:w="8638" w:type="dxa"/>
            <w:shd w:val="clear" w:color="auto" w:fill="auto"/>
          </w:tcPr>
          <w:p w14:paraId="6BD86B3C" w14:textId="77777777" w:rsidR="00954915" w:rsidRPr="00AE642C" w:rsidRDefault="00954915" w:rsidP="00AE642C">
            <w:pPr>
              <w:pageBreakBefore/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lastRenderedPageBreak/>
              <w:t xml:space="preserve">Oddelek I:    Žive živali; proizvodi živalskega izvora </w:t>
            </w:r>
          </w:p>
        </w:tc>
      </w:tr>
      <w:tr w:rsidR="00954915" w:rsidRPr="00AE642C" w14:paraId="7BE6F980" w14:textId="77777777" w:rsidTr="00AE642C">
        <w:tc>
          <w:tcPr>
            <w:tcW w:w="8638" w:type="dxa"/>
            <w:tcBorders>
              <w:bottom w:val="single" w:sz="4" w:space="0" w:color="auto"/>
            </w:tcBorders>
            <w:shd w:val="clear" w:color="auto" w:fill="auto"/>
          </w:tcPr>
          <w:p w14:paraId="7B9E1DB7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II:   Rastlinski proizvodi </w:t>
            </w:r>
          </w:p>
        </w:tc>
      </w:tr>
      <w:tr w:rsidR="00954915" w:rsidRPr="006934B0" w14:paraId="522B7E84" w14:textId="77777777" w:rsidTr="00AE642C"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FEA5CC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>Oddelek III:  Olja in masti živalskega in rastlinskega izvora in proizvodi njihovega razkrajanja; predelane</w:t>
            </w:r>
          </w:p>
        </w:tc>
      </w:tr>
      <w:tr w:rsidR="00954915" w:rsidRPr="006934B0" w14:paraId="71063DAE" w14:textId="77777777" w:rsidTr="00AE642C"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16E02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                     užitne masti; voski živalskega in rastlinskega izvora </w:t>
            </w:r>
          </w:p>
        </w:tc>
      </w:tr>
      <w:tr w:rsidR="00954915" w:rsidRPr="006934B0" w14:paraId="2179DB66" w14:textId="77777777" w:rsidTr="00AE642C">
        <w:tc>
          <w:tcPr>
            <w:tcW w:w="8638" w:type="dxa"/>
            <w:tcBorders>
              <w:top w:val="single" w:sz="4" w:space="0" w:color="auto"/>
            </w:tcBorders>
            <w:shd w:val="clear" w:color="auto" w:fill="auto"/>
          </w:tcPr>
          <w:p w14:paraId="17793F30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IV:  Proizvodi živilske industrije; pijače, alkoholne tekočine in kis; tobak in tobačni nadomestki </w:t>
            </w:r>
          </w:p>
        </w:tc>
      </w:tr>
      <w:tr w:rsidR="00954915" w:rsidRPr="00AE642C" w14:paraId="4023D12C" w14:textId="77777777" w:rsidTr="00AE642C">
        <w:tc>
          <w:tcPr>
            <w:tcW w:w="8638" w:type="dxa"/>
            <w:shd w:val="clear" w:color="auto" w:fill="auto"/>
          </w:tcPr>
          <w:p w14:paraId="5AE28C0E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V:    Mineralni proizvodi </w:t>
            </w:r>
          </w:p>
        </w:tc>
      </w:tr>
      <w:tr w:rsidR="00954915" w:rsidRPr="006934B0" w14:paraId="11CA66AE" w14:textId="77777777" w:rsidTr="00AE642C">
        <w:tc>
          <w:tcPr>
            <w:tcW w:w="8638" w:type="dxa"/>
            <w:shd w:val="clear" w:color="auto" w:fill="auto"/>
          </w:tcPr>
          <w:p w14:paraId="391C67E4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VI:   Proizvodi kemične industrije ali podobnih industrij </w:t>
            </w:r>
          </w:p>
        </w:tc>
      </w:tr>
      <w:tr w:rsidR="00954915" w:rsidRPr="00AE642C" w14:paraId="38CAD642" w14:textId="77777777" w:rsidTr="00AE642C">
        <w:tc>
          <w:tcPr>
            <w:tcW w:w="8638" w:type="dxa"/>
            <w:tcBorders>
              <w:bottom w:val="single" w:sz="4" w:space="0" w:color="auto"/>
            </w:tcBorders>
            <w:shd w:val="clear" w:color="auto" w:fill="auto"/>
          </w:tcPr>
          <w:p w14:paraId="1CD1D451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VII:  Plastične mase in proizvodi iz plastičnih mas, kavčuk in proizvodi iz kavčuka in gume </w:t>
            </w:r>
          </w:p>
        </w:tc>
      </w:tr>
      <w:tr w:rsidR="00954915" w:rsidRPr="00AE642C" w14:paraId="51025206" w14:textId="77777777" w:rsidTr="00AE642C"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8A699B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VIII: Surove kože z dlako ali brez dlake, usnje, krzna in krzneni izdelki; sedlarski in jermenarski </w:t>
            </w:r>
          </w:p>
        </w:tc>
      </w:tr>
      <w:tr w:rsidR="00954915" w:rsidRPr="006934B0" w14:paraId="796FCD68" w14:textId="77777777" w:rsidTr="00AE642C"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8D8A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                      izdelki; predmeti za potovanje, ročne torbe in podobni izdelki; izdelki iz živalskih črev </w:t>
            </w:r>
          </w:p>
        </w:tc>
      </w:tr>
      <w:tr w:rsidR="00954915" w:rsidRPr="006934B0" w14:paraId="60D58A1F" w14:textId="77777777" w:rsidTr="00AE642C">
        <w:tc>
          <w:tcPr>
            <w:tcW w:w="8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80CA9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IX:   Les in lesni izdelki; oglje; pluta in plutasti izdelki; izdelki iz slame, </w:t>
            </w:r>
            <w:proofErr w:type="spellStart"/>
            <w:r w:rsidRPr="00AE642C">
              <w:rPr>
                <w:sz w:val="18"/>
                <w:szCs w:val="18"/>
                <w:lang w:val="sl-SI"/>
              </w:rPr>
              <w:t>esparta</w:t>
            </w:r>
            <w:proofErr w:type="spellEnd"/>
            <w:r w:rsidRPr="00AE642C">
              <w:rPr>
                <w:sz w:val="18"/>
                <w:szCs w:val="18"/>
                <w:lang w:val="sl-SI"/>
              </w:rPr>
              <w:t xml:space="preserve"> ali drugih</w:t>
            </w:r>
          </w:p>
          <w:p w14:paraId="087A8F3B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                      materialov za pletarstvo; </w:t>
            </w:r>
            <w:proofErr w:type="spellStart"/>
            <w:r w:rsidRPr="00AE642C">
              <w:rPr>
                <w:sz w:val="18"/>
                <w:szCs w:val="18"/>
                <w:lang w:val="sl-SI"/>
              </w:rPr>
              <w:t>košarski</w:t>
            </w:r>
            <w:proofErr w:type="spellEnd"/>
            <w:r w:rsidRPr="00AE642C">
              <w:rPr>
                <w:sz w:val="18"/>
                <w:szCs w:val="18"/>
                <w:lang w:val="sl-SI"/>
              </w:rPr>
              <w:t xml:space="preserve"> in pletarski izdelki</w:t>
            </w:r>
          </w:p>
        </w:tc>
      </w:tr>
      <w:tr w:rsidR="00954915" w:rsidRPr="006934B0" w14:paraId="3015D9FF" w14:textId="77777777" w:rsidTr="00AE642C"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20B03C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X:   Celuloza, lesna ali iz drugih vlaknastih celuloznih materialov; papirni in kartonski odpadki in </w:t>
            </w:r>
          </w:p>
        </w:tc>
      </w:tr>
      <w:tr w:rsidR="00954915" w:rsidRPr="006934B0" w14:paraId="5651FA11" w14:textId="77777777" w:rsidTr="00AE642C"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CA33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                     ostanki; papir in karton, papirni izdelki in kartonski izdelki </w:t>
            </w:r>
          </w:p>
        </w:tc>
      </w:tr>
      <w:tr w:rsidR="00954915" w:rsidRPr="00AE642C" w14:paraId="0B3CFD2E" w14:textId="77777777" w:rsidTr="00AE642C">
        <w:tc>
          <w:tcPr>
            <w:tcW w:w="8638" w:type="dxa"/>
            <w:tcBorders>
              <w:top w:val="single" w:sz="4" w:space="0" w:color="auto"/>
            </w:tcBorders>
            <w:shd w:val="clear" w:color="auto" w:fill="auto"/>
          </w:tcPr>
          <w:p w14:paraId="21F33B77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XI:  Tekstil in tekstilni izdelki </w:t>
            </w:r>
          </w:p>
        </w:tc>
      </w:tr>
      <w:tr w:rsidR="00954915" w:rsidRPr="006934B0" w14:paraId="46D558F0" w14:textId="77777777" w:rsidTr="00AE642C">
        <w:tc>
          <w:tcPr>
            <w:tcW w:w="8638" w:type="dxa"/>
            <w:shd w:val="clear" w:color="auto" w:fill="auto"/>
          </w:tcPr>
          <w:p w14:paraId="3DC982FC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>Oddelek XII: Obutev, pokrivala, dežniki, sončniki, sprehajalne palice, palice-stolčki, biči, korobači in</w:t>
            </w:r>
          </w:p>
          <w:p w14:paraId="76B2DD01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                     njihovi deli; preparirano perje in izdelki iz perja; umetno cvetje; izdelki iz človeških las</w:t>
            </w:r>
          </w:p>
        </w:tc>
      </w:tr>
      <w:tr w:rsidR="00954915" w:rsidRPr="006934B0" w14:paraId="42447E17" w14:textId="77777777" w:rsidTr="00AE642C">
        <w:tc>
          <w:tcPr>
            <w:tcW w:w="8638" w:type="dxa"/>
            <w:tcBorders>
              <w:bottom w:val="single" w:sz="4" w:space="0" w:color="auto"/>
            </w:tcBorders>
            <w:shd w:val="clear" w:color="auto" w:fill="auto"/>
          </w:tcPr>
          <w:p w14:paraId="01C1C67C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>Oddelek XIII: Izdelki iz kamna, sadre, cementa, betona, azbesta, sljude ali podobnih materialov;</w:t>
            </w:r>
          </w:p>
          <w:p w14:paraId="01E8279E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                      keramični izdelki; steklo in stekleni izdelki</w:t>
            </w:r>
          </w:p>
        </w:tc>
      </w:tr>
      <w:tr w:rsidR="00954915" w:rsidRPr="006934B0" w14:paraId="75E0EE28" w14:textId="77777777" w:rsidTr="00AE642C"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A610D7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XIV: Naravni in kultivirani biseri, dragi in poldragi kamni, plemenite kovine, kovine, </w:t>
            </w:r>
            <w:proofErr w:type="spellStart"/>
            <w:r w:rsidRPr="00AE642C">
              <w:rPr>
                <w:sz w:val="18"/>
                <w:szCs w:val="18"/>
                <w:lang w:val="sl-SI"/>
              </w:rPr>
              <w:t>platirane</w:t>
            </w:r>
            <w:proofErr w:type="spellEnd"/>
            <w:r w:rsidRPr="00AE642C">
              <w:rPr>
                <w:sz w:val="18"/>
                <w:szCs w:val="18"/>
                <w:lang w:val="sl-SI"/>
              </w:rPr>
              <w:t xml:space="preserve"> s </w:t>
            </w:r>
          </w:p>
        </w:tc>
      </w:tr>
      <w:tr w:rsidR="00954915" w:rsidRPr="006934B0" w14:paraId="6E990A22" w14:textId="77777777" w:rsidTr="00AE642C"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5D81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                      plemenitimi kovinami, in iz njih narejeni izdelki; imitacije nakita; kovanci </w:t>
            </w:r>
          </w:p>
        </w:tc>
      </w:tr>
      <w:tr w:rsidR="00954915" w:rsidRPr="006934B0" w14:paraId="65C4AE4E" w14:textId="77777777" w:rsidTr="00AE642C">
        <w:tc>
          <w:tcPr>
            <w:tcW w:w="8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6A641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XV: </w:t>
            </w:r>
            <w:r w:rsidR="00DB34F6" w:rsidRPr="00AE642C">
              <w:rPr>
                <w:sz w:val="18"/>
                <w:szCs w:val="18"/>
                <w:lang w:val="sl-SI"/>
              </w:rPr>
              <w:t xml:space="preserve"> </w:t>
            </w:r>
            <w:r w:rsidRPr="00AE642C">
              <w:rPr>
                <w:sz w:val="18"/>
                <w:szCs w:val="18"/>
                <w:lang w:val="sl-SI"/>
              </w:rPr>
              <w:t xml:space="preserve">Navadne kovine in izdelki iz navadnih kovin </w:t>
            </w:r>
          </w:p>
        </w:tc>
      </w:tr>
      <w:tr w:rsidR="00954915" w:rsidRPr="006934B0" w14:paraId="05EEF7D0" w14:textId="77777777" w:rsidTr="00AE642C"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FC3FF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>Oddelek XVI: Stroji in mehanske naprave; elektrotehniška oprema; njihovi deli; aparati za snemanje in</w:t>
            </w:r>
          </w:p>
        </w:tc>
      </w:tr>
      <w:tr w:rsidR="00954915" w:rsidRPr="00AE642C" w14:paraId="5D4989D3" w14:textId="77777777" w:rsidTr="00AE642C">
        <w:tc>
          <w:tcPr>
            <w:tcW w:w="8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A5A8CD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                     </w:t>
            </w:r>
            <w:r w:rsidR="00DB34F6" w:rsidRPr="00AE642C">
              <w:rPr>
                <w:sz w:val="18"/>
                <w:szCs w:val="18"/>
                <w:lang w:val="sl-SI"/>
              </w:rPr>
              <w:t xml:space="preserve"> </w:t>
            </w:r>
            <w:r w:rsidRPr="00AE642C">
              <w:rPr>
                <w:sz w:val="18"/>
                <w:szCs w:val="18"/>
                <w:lang w:val="sl-SI"/>
              </w:rPr>
              <w:t xml:space="preserve"> reprodukcijo zvoka, aparati za snemanje in reprodukcijo televizijske slike in zvoka, deli in </w:t>
            </w:r>
          </w:p>
        </w:tc>
      </w:tr>
      <w:tr w:rsidR="00954915" w:rsidRPr="00AE642C" w14:paraId="58B8C5BD" w14:textId="77777777" w:rsidTr="00AE642C"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5D2F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                      </w:t>
            </w:r>
            <w:r w:rsidR="00DB34F6" w:rsidRPr="00AE642C">
              <w:rPr>
                <w:sz w:val="18"/>
                <w:szCs w:val="18"/>
                <w:lang w:val="sl-SI"/>
              </w:rPr>
              <w:t xml:space="preserve"> </w:t>
            </w:r>
            <w:r w:rsidRPr="00AE642C">
              <w:rPr>
                <w:sz w:val="18"/>
                <w:szCs w:val="18"/>
                <w:lang w:val="sl-SI"/>
              </w:rPr>
              <w:t xml:space="preserve">pribor za te proizvode </w:t>
            </w:r>
          </w:p>
        </w:tc>
      </w:tr>
      <w:tr w:rsidR="00954915" w:rsidRPr="006934B0" w14:paraId="264864D5" w14:textId="77777777" w:rsidTr="00AE642C">
        <w:tc>
          <w:tcPr>
            <w:tcW w:w="8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6D28E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XVII: Vozila, zrakoplovi, plovila in spremljajoča transportna oprema </w:t>
            </w:r>
          </w:p>
        </w:tc>
      </w:tr>
      <w:tr w:rsidR="00954915" w:rsidRPr="006934B0" w14:paraId="3B1EF814" w14:textId="77777777" w:rsidTr="00AE642C"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5111A6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XVIII: Optični, fotografski, kinematografski, merilni, kontrolni, precizni, medicinski ali kirurški </w:t>
            </w:r>
          </w:p>
        </w:tc>
      </w:tr>
      <w:tr w:rsidR="00954915" w:rsidRPr="006934B0" w14:paraId="1982D538" w14:textId="77777777" w:rsidTr="00AE642C">
        <w:tc>
          <w:tcPr>
            <w:tcW w:w="8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EAE3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                        instrumenti in aparati; ure; glasbila; njihovi deli in pribor  </w:t>
            </w:r>
          </w:p>
        </w:tc>
      </w:tr>
      <w:tr w:rsidR="00954915" w:rsidRPr="006934B0" w14:paraId="1CAD084D" w14:textId="77777777" w:rsidTr="00AE642C">
        <w:tc>
          <w:tcPr>
            <w:tcW w:w="8638" w:type="dxa"/>
            <w:tcBorders>
              <w:top w:val="single" w:sz="4" w:space="0" w:color="auto"/>
            </w:tcBorders>
            <w:shd w:val="clear" w:color="auto" w:fill="auto"/>
          </w:tcPr>
          <w:p w14:paraId="4B3A7526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XIX: </w:t>
            </w:r>
            <w:r w:rsidR="00D63C0A" w:rsidRPr="00AE642C">
              <w:rPr>
                <w:sz w:val="18"/>
                <w:szCs w:val="18"/>
                <w:lang w:val="sl-SI"/>
              </w:rPr>
              <w:t xml:space="preserve"> </w:t>
            </w:r>
            <w:r w:rsidRPr="00AE642C">
              <w:rPr>
                <w:sz w:val="18"/>
                <w:szCs w:val="18"/>
                <w:lang w:val="sl-SI"/>
              </w:rPr>
              <w:t xml:space="preserve">Orožje in strelivo; njuni deli in pribor </w:t>
            </w:r>
          </w:p>
        </w:tc>
      </w:tr>
      <w:tr w:rsidR="00954915" w:rsidRPr="00AE642C" w14:paraId="48304DC4" w14:textId="77777777" w:rsidTr="00AE642C">
        <w:tc>
          <w:tcPr>
            <w:tcW w:w="8638" w:type="dxa"/>
            <w:shd w:val="clear" w:color="auto" w:fill="auto"/>
          </w:tcPr>
          <w:p w14:paraId="35242F1D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XX: </w:t>
            </w:r>
            <w:r w:rsidR="00D63C0A" w:rsidRPr="00AE642C">
              <w:rPr>
                <w:sz w:val="18"/>
                <w:szCs w:val="18"/>
                <w:lang w:val="sl-SI"/>
              </w:rPr>
              <w:t xml:space="preserve">  </w:t>
            </w:r>
            <w:r w:rsidRPr="00AE642C">
              <w:rPr>
                <w:sz w:val="18"/>
                <w:szCs w:val="18"/>
                <w:lang w:val="sl-SI"/>
              </w:rPr>
              <w:t xml:space="preserve">Razni izdelki </w:t>
            </w:r>
          </w:p>
        </w:tc>
      </w:tr>
      <w:tr w:rsidR="00954915" w:rsidRPr="00AE642C" w14:paraId="08613902" w14:textId="77777777" w:rsidTr="00AE642C">
        <w:tc>
          <w:tcPr>
            <w:tcW w:w="8638" w:type="dxa"/>
            <w:shd w:val="clear" w:color="auto" w:fill="auto"/>
          </w:tcPr>
          <w:p w14:paraId="00243711" w14:textId="77777777" w:rsidR="00954915" w:rsidRPr="00AE642C" w:rsidRDefault="00954915" w:rsidP="00AE642C">
            <w:pPr>
              <w:jc w:val="both"/>
              <w:rPr>
                <w:sz w:val="18"/>
                <w:szCs w:val="18"/>
                <w:lang w:val="sl-SI"/>
              </w:rPr>
            </w:pPr>
            <w:r w:rsidRPr="00AE642C">
              <w:rPr>
                <w:sz w:val="18"/>
                <w:szCs w:val="18"/>
                <w:lang w:val="sl-SI"/>
              </w:rPr>
              <w:t xml:space="preserve">Oddelek XXI: </w:t>
            </w:r>
            <w:r w:rsidR="00D63C0A" w:rsidRPr="00AE642C">
              <w:rPr>
                <w:sz w:val="18"/>
                <w:szCs w:val="18"/>
                <w:lang w:val="sl-SI"/>
              </w:rPr>
              <w:t xml:space="preserve"> </w:t>
            </w:r>
            <w:r w:rsidRPr="00AE642C">
              <w:rPr>
                <w:sz w:val="18"/>
                <w:szCs w:val="18"/>
                <w:lang w:val="sl-SI"/>
              </w:rPr>
              <w:t>Umetniški izdelki, zbirke in starine</w:t>
            </w:r>
          </w:p>
        </w:tc>
      </w:tr>
    </w:tbl>
    <w:p w14:paraId="14D4AD30" w14:textId="77777777" w:rsidR="00581B62" w:rsidRDefault="00581B62" w:rsidP="00BA4F8E">
      <w:pPr>
        <w:jc w:val="both"/>
        <w:rPr>
          <w:lang w:val="sl-SI"/>
        </w:rPr>
      </w:pPr>
    </w:p>
    <w:p w14:paraId="3E04D9C7" w14:textId="77777777" w:rsidR="00E35A53" w:rsidRPr="00E35A53" w:rsidRDefault="00E35A53" w:rsidP="00E35A53">
      <w:pPr>
        <w:jc w:val="both"/>
        <w:rPr>
          <w:lang w:val="sl-SI"/>
        </w:rPr>
      </w:pPr>
      <w:r w:rsidRPr="00E35A53">
        <w:rPr>
          <w:lang w:val="sl-SI"/>
        </w:rPr>
        <w:t>Splošno pravilo je, da je blago v HS razvrščeno po vrstnem redu glede na stopnjo proizvodnje: surovine, neobdelani proizvodi, polproizvodi, končni proizvodi. Enako stopnjevanje je uporabljeno tudi znotraj poglavij in tarifnih številk.</w:t>
      </w:r>
    </w:p>
    <w:p w14:paraId="5B237F98" w14:textId="77777777" w:rsidR="00E35A53" w:rsidRDefault="00E35A53" w:rsidP="00BA4F8E">
      <w:pPr>
        <w:jc w:val="both"/>
        <w:rPr>
          <w:lang w:val="sl-SI"/>
        </w:rPr>
      </w:pPr>
    </w:p>
    <w:p w14:paraId="7BE2D9B5" w14:textId="77777777" w:rsidR="001B301D" w:rsidRPr="00F55D9A" w:rsidRDefault="00BA4F8E" w:rsidP="001B301D">
      <w:pPr>
        <w:jc w:val="both"/>
        <w:rPr>
          <w:color w:val="000000"/>
          <w:lang w:val="sl-SI"/>
        </w:rPr>
      </w:pPr>
      <w:r w:rsidRPr="00235610">
        <w:rPr>
          <w:lang w:val="sl-SI"/>
        </w:rPr>
        <w:t xml:space="preserve">Nomenklatura HS se spreminja v petletnih </w:t>
      </w:r>
      <w:r w:rsidR="00673009">
        <w:rPr>
          <w:lang w:val="sl-SI"/>
        </w:rPr>
        <w:t>obdobjih</w:t>
      </w:r>
      <w:r w:rsidRPr="00235610">
        <w:rPr>
          <w:lang w:val="sl-SI"/>
        </w:rPr>
        <w:t xml:space="preserve">. </w:t>
      </w:r>
      <w:r w:rsidR="00094765" w:rsidRPr="000471A9">
        <w:rPr>
          <w:color w:val="000000"/>
          <w:lang w:val="sl-SI"/>
        </w:rPr>
        <w:t>Zadnja različica</w:t>
      </w:r>
      <w:r w:rsidR="001B301D">
        <w:rPr>
          <w:color w:val="000000"/>
          <w:lang w:val="sl-SI"/>
        </w:rPr>
        <w:t xml:space="preserve"> (sedma izdaja)</w:t>
      </w:r>
      <w:r w:rsidR="00094765" w:rsidRPr="000471A9">
        <w:rPr>
          <w:color w:val="000000"/>
          <w:lang w:val="sl-SI"/>
        </w:rPr>
        <w:t xml:space="preserve"> nomenklature harmoniziranega sistema (HS 20</w:t>
      </w:r>
      <w:r w:rsidR="001B301D">
        <w:rPr>
          <w:color w:val="000000"/>
          <w:lang w:val="sl-SI"/>
        </w:rPr>
        <w:t>22</w:t>
      </w:r>
      <w:r w:rsidR="00BF666C">
        <w:rPr>
          <w:color w:val="000000"/>
          <w:lang w:val="sl-SI"/>
        </w:rPr>
        <w:t>-2027</w:t>
      </w:r>
      <w:r w:rsidR="00094765" w:rsidRPr="000471A9">
        <w:rPr>
          <w:color w:val="000000"/>
          <w:lang w:val="sl-SI"/>
        </w:rPr>
        <w:t xml:space="preserve">) </w:t>
      </w:r>
      <w:r w:rsidR="001B301D">
        <w:rPr>
          <w:color w:val="000000"/>
          <w:lang w:val="sl-SI"/>
        </w:rPr>
        <w:t>je začela veljati 1. januarja 2022 in</w:t>
      </w:r>
      <w:r w:rsidR="001B301D" w:rsidRPr="00F55D9A">
        <w:rPr>
          <w:color w:val="000000"/>
          <w:lang w:val="sl-SI"/>
        </w:rPr>
        <w:t xml:space="preserve"> </w:t>
      </w:r>
      <w:r w:rsidR="001B301D">
        <w:rPr>
          <w:color w:val="000000"/>
          <w:lang w:val="sl-SI"/>
        </w:rPr>
        <w:t>zajema</w:t>
      </w:r>
      <w:r w:rsidR="001B301D" w:rsidRPr="00F55D9A">
        <w:rPr>
          <w:color w:val="000000"/>
          <w:lang w:val="sl-SI"/>
        </w:rPr>
        <w:t xml:space="preserve"> več kot 350 sprememb</w:t>
      </w:r>
      <w:r w:rsidR="001B301D">
        <w:rPr>
          <w:color w:val="000000"/>
          <w:lang w:val="sl-SI"/>
        </w:rPr>
        <w:t>. V</w:t>
      </w:r>
      <w:r w:rsidR="001B301D" w:rsidRPr="00F55D9A">
        <w:rPr>
          <w:color w:val="000000"/>
          <w:lang w:val="sl-SI"/>
        </w:rPr>
        <w:t xml:space="preserve">eljala </w:t>
      </w:r>
      <w:r w:rsidR="001B301D">
        <w:rPr>
          <w:color w:val="000000"/>
          <w:lang w:val="sl-SI"/>
        </w:rPr>
        <w:t>bo</w:t>
      </w:r>
      <w:r w:rsidR="001B301D" w:rsidRPr="00F55D9A">
        <w:rPr>
          <w:color w:val="000000"/>
          <w:lang w:val="sl-SI"/>
        </w:rPr>
        <w:t xml:space="preserve"> do leta 2027.</w:t>
      </w:r>
    </w:p>
    <w:p w14:paraId="48C6FFBF" w14:textId="77777777" w:rsidR="00D63C0A" w:rsidRDefault="00D63C0A" w:rsidP="00BA4F8E">
      <w:pPr>
        <w:jc w:val="both"/>
        <w:rPr>
          <w:color w:val="000000"/>
          <w:lang w:val="sl-SI"/>
        </w:rPr>
      </w:pPr>
    </w:p>
    <w:p w14:paraId="154E1A21" w14:textId="77777777" w:rsidR="00D63C0A" w:rsidRPr="00D63C0A" w:rsidRDefault="00D63C0A" w:rsidP="00D63C0A">
      <w:pPr>
        <w:jc w:val="both"/>
        <w:rPr>
          <w:color w:val="000000"/>
          <w:lang w:val="sl-SI"/>
        </w:rPr>
      </w:pPr>
      <w:r w:rsidRPr="00D63C0A">
        <w:rPr>
          <w:color w:val="000000"/>
          <w:lang w:val="sl-SI"/>
        </w:rPr>
        <w:t>Do spletne verzije nomenklature HS 20</w:t>
      </w:r>
      <w:r w:rsidR="001B301D">
        <w:rPr>
          <w:color w:val="000000"/>
          <w:lang w:val="sl-SI"/>
        </w:rPr>
        <w:t>22</w:t>
      </w:r>
      <w:r w:rsidR="00BF666C">
        <w:rPr>
          <w:color w:val="000000"/>
          <w:lang w:val="sl-SI"/>
        </w:rPr>
        <w:t>-2027</w:t>
      </w:r>
      <w:r w:rsidRPr="00D63C0A">
        <w:rPr>
          <w:color w:val="000000"/>
          <w:lang w:val="sl-SI"/>
        </w:rPr>
        <w:t xml:space="preserve"> lahko dostopate na spletni strani Svetovne carinske organizacije: </w:t>
      </w:r>
      <w:hyperlink r:id="rId14" w:history="1">
        <w:r w:rsidRPr="00D63C0A">
          <w:rPr>
            <w:rStyle w:val="Hiperpovezava"/>
            <w:lang w:val="sl-SI"/>
          </w:rPr>
          <w:t xml:space="preserve">WCO </w:t>
        </w:r>
        <w:proofErr w:type="spellStart"/>
        <w:r w:rsidRPr="00D63C0A">
          <w:rPr>
            <w:rStyle w:val="Hiperpovezava"/>
            <w:lang w:val="sl-SI"/>
          </w:rPr>
          <w:t>Trade</w:t>
        </w:r>
        <w:proofErr w:type="spellEnd"/>
        <w:r w:rsidRPr="00D63C0A">
          <w:rPr>
            <w:rStyle w:val="Hiperpovezava"/>
            <w:lang w:val="sl-SI"/>
          </w:rPr>
          <w:t xml:space="preserve"> </w:t>
        </w:r>
        <w:proofErr w:type="spellStart"/>
        <w:r w:rsidRPr="00D63C0A">
          <w:rPr>
            <w:rStyle w:val="Hiperpovezava"/>
            <w:lang w:val="sl-SI"/>
          </w:rPr>
          <w:t>Tools</w:t>
        </w:r>
        <w:proofErr w:type="spellEnd"/>
      </w:hyperlink>
    </w:p>
    <w:p w14:paraId="704D325C" w14:textId="77777777" w:rsidR="00B51B60" w:rsidRDefault="00B51B60" w:rsidP="00BA4F8E">
      <w:pPr>
        <w:jc w:val="both"/>
        <w:rPr>
          <w:color w:val="000000"/>
          <w:lang w:val="sl-SI"/>
        </w:rPr>
      </w:pPr>
    </w:p>
    <w:p w14:paraId="5C91F379" w14:textId="77777777" w:rsidR="008321F0" w:rsidRPr="008321F0" w:rsidRDefault="0040352A" w:rsidP="008321F0">
      <w:pPr>
        <w:jc w:val="both"/>
        <w:rPr>
          <w:lang w:val="sl-SI"/>
        </w:rPr>
      </w:pPr>
      <w:r>
        <w:rPr>
          <w:lang w:val="sl-SI"/>
        </w:rPr>
        <w:t>N</w:t>
      </w:r>
      <w:r w:rsidR="008321F0" w:rsidRPr="008321F0">
        <w:rPr>
          <w:lang w:val="sl-SI"/>
        </w:rPr>
        <w:t xml:space="preserve">akup </w:t>
      </w:r>
      <w:r w:rsidR="008321F0">
        <w:rPr>
          <w:lang w:val="sl-SI"/>
        </w:rPr>
        <w:t>nomenklature</w:t>
      </w:r>
      <w:r w:rsidR="008321F0" w:rsidRPr="008321F0">
        <w:rPr>
          <w:lang w:val="sl-SI"/>
        </w:rPr>
        <w:t xml:space="preserve"> HS </w:t>
      </w:r>
      <w:r w:rsidR="008321F0">
        <w:rPr>
          <w:lang w:val="sl-SI"/>
        </w:rPr>
        <w:t>2022</w:t>
      </w:r>
      <w:r w:rsidR="00BF666C">
        <w:rPr>
          <w:lang w:val="sl-SI"/>
        </w:rPr>
        <w:t>-2027</w:t>
      </w:r>
      <w:r w:rsidR="008321F0">
        <w:rPr>
          <w:lang w:val="sl-SI"/>
        </w:rPr>
        <w:t xml:space="preserve"> v papirni verziji </w:t>
      </w:r>
      <w:r w:rsidR="008321F0" w:rsidRPr="008321F0">
        <w:rPr>
          <w:lang w:val="sl-SI"/>
        </w:rPr>
        <w:t xml:space="preserve">lahko opravite na </w:t>
      </w:r>
      <w:r w:rsidR="008321F0">
        <w:rPr>
          <w:lang w:val="sl-SI"/>
        </w:rPr>
        <w:t xml:space="preserve">naslednji </w:t>
      </w:r>
      <w:r w:rsidR="008321F0" w:rsidRPr="008321F0">
        <w:rPr>
          <w:lang w:val="sl-SI"/>
        </w:rPr>
        <w:t>spletni strani Svetovne carinske organizacije:</w:t>
      </w:r>
    </w:p>
    <w:p w14:paraId="66365321" w14:textId="77777777" w:rsidR="008321F0" w:rsidRDefault="00756C8B" w:rsidP="00BA4F8E">
      <w:pPr>
        <w:jc w:val="both"/>
        <w:rPr>
          <w:lang w:val="sl-SI"/>
        </w:rPr>
      </w:pPr>
      <w:hyperlink r:id="rId15" w:history="1">
        <w:r w:rsidR="008321F0" w:rsidRPr="008321F0">
          <w:rPr>
            <w:rStyle w:val="Hiperpovezava"/>
          </w:rPr>
          <w:t>Harmonized System Nomenclature 2022 | WCO Bookshop (wcoomdpublications.org)</w:t>
        </w:r>
      </w:hyperlink>
    </w:p>
    <w:p w14:paraId="4D200196" w14:textId="77777777" w:rsidR="00F55D9A" w:rsidRDefault="00F55D9A" w:rsidP="00BA4F8E">
      <w:pPr>
        <w:jc w:val="both"/>
        <w:rPr>
          <w:lang w:val="sl-SI"/>
        </w:rPr>
      </w:pPr>
    </w:p>
    <w:p w14:paraId="5FE9C735" w14:textId="77777777" w:rsidR="00F55D9A" w:rsidRPr="00F55D9A" w:rsidRDefault="00F55D9A" w:rsidP="00F55D9A">
      <w:pPr>
        <w:jc w:val="both"/>
        <w:rPr>
          <w:lang w:val="sl-SI"/>
        </w:rPr>
      </w:pPr>
      <w:r w:rsidRPr="00F55D9A">
        <w:rPr>
          <w:lang w:val="sl-SI"/>
        </w:rPr>
        <w:t>Glavne značilnosti sprememb HS 2022</w:t>
      </w:r>
      <w:r w:rsidR="00BF666C">
        <w:rPr>
          <w:lang w:val="sl-SI"/>
        </w:rPr>
        <w:t>-2027</w:t>
      </w:r>
      <w:r w:rsidRPr="00F55D9A">
        <w:rPr>
          <w:lang w:val="sl-SI"/>
        </w:rPr>
        <w:t xml:space="preserve"> so prilagajanje trgovini in tehnološkemu razvoju izdelkov, obravnavanje </w:t>
      </w:r>
      <w:proofErr w:type="spellStart"/>
      <w:r w:rsidRPr="00F55D9A">
        <w:rPr>
          <w:lang w:val="sl-SI"/>
        </w:rPr>
        <w:t>okoljskih</w:t>
      </w:r>
      <w:proofErr w:type="spellEnd"/>
      <w:r w:rsidRPr="00F55D9A">
        <w:rPr>
          <w:lang w:val="sl-SI"/>
        </w:rPr>
        <w:t xml:space="preserve"> in socialnih vprašanj svetovnega pomena, skrb za zdravje in varnost ter zaščita družbe in boj proti terorizmu, ki sta za carino vse pomembnejša. </w:t>
      </w:r>
    </w:p>
    <w:p w14:paraId="268C35CA" w14:textId="77777777" w:rsidR="00F55D9A" w:rsidRPr="00F55D9A" w:rsidRDefault="00F55D9A" w:rsidP="00F55D9A">
      <w:pPr>
        <w:jc w:val="both"/>
        <w:rPr>
          <w:lang w:val="sl-SI"/>
        </w:rPr>
      </w:pPr>
    </w:p>
    <w:p w14:paraId="6BF851AF" w14:textId="77777777" w:rsidR="00F55D9A" w:rsidRPr="00F55D9A" w:rsidRDefault="00F55D9A" w:rsidP="00F55D9A">
      <w:pPr>
        <w:jc w:val="both"/>
        <w:rPr>
          <w:lang w:val="sl-SI"/>
        </w:rPr>
      </w:pPr>
      <w:r w:rsidRPr="00F55D9A">
        <w:rPr>
          <w:lang w:val="sl-SI"/>
        </w:rPr>
        <w:t>V HS 2022</w:t>
      </w:r>
      <w:r w:rsidR="00BF666C">
        <w:rPr>
          <w:lang w:val="sl-SI"/>
        </w:rPr>
        <w:t>-2027</w:t>
      </w:r>
      <w:r w:rsidRPr="00F55D9A">
        <w:rPr>
          <w:lang w:val="sl-SI"/>
        </w:rPr>
        <w:t xml:space="preserve"> so posodobljene tudi tarifne podštevilke za blago, ki se posebej nadzira v skladu z različnimi konvencijami. Spremembe HS 2022</w:t>
      </w:r>
      <w:r w:rsidR="00BF666C">
        <w:rPr>
          <w:lang w:val="sl-SI"/>
        </w:rPr>
        <w:t>-2027</w:t>
      </w:r>
      <w:r w:rsidRPr="00F55D9A">
        <w:rPr>
          <w:lang w:val="sl-SI"/>
        </w:rPr>
        <w:t xml:space="preserve"> niso omejene le na oblikovanje novih </w:t>
      </w:r>
      <w:r w:rsidRPr="00F55D9A">
        <w:rPr>
          <w:lang w:val="sl-SI"/>
        </w:rPr>
        <w:lastRenderedPageBreak/>
        <w:t>določb in tarifnih številk/podštevilk za različno blago, temveč vključujejo tudi posodobitve in uskladitve besedil med jezikovnimi različicami, z namenom, da se zagotovi enotna uporaba nomenklature.</w:t>
      </w:r>
    </w:p>
    <w:p w14:paraId="30629578" w14:textId="77777777" w:rsidR="00F55D9A" w:rsidRPr="00F55D9A" w:rsidRDefault="00F55D9A" w:rsidP="00F55D9A">
      <w:pPr>
        <w:jc w:val="both"/>
        <w:rPr>
          <w:lang w:val="sl-SI"/>
        </w:rPr>
      </w:pPr>
    </w:p>
    <w:p w14:paraId="510CEFD7" w14:textId="77777777" w:rsidR="00F55D9A" w:rsidRPr="00F55D9A" w:rsidRDefault="00F55D9A" w:rsidP="00F55D9A">
      <w:pPr>
        <w:jc w:val="both"/>
        <w:rPr>
          <w:lang w:val="sl-SI"/>
        </w:rPr>
      </w:pPr>
      <w:r w:rsidRPr="00F55D9A">
        <w:rPr>
          <w:lang w:val="sl-SI"/>
        </w:rPr>
        <w:t>Med novostmi HS 2022</w:t>
      </w:r>
      <w:r w:rsidR="00BF666C">
        <w:rPr>
          <w:lang w:val="sl-SI"/>
        </w:rPr>
        <w:t>-2027</w:t>
      </w:r>
      <w:r w:rsidRPr="00F55D9A">
        <w:rPr>
          <w:lang w:val="sl-SI"/>
        </w:rPr>
        <w:t xml:space="preserve"> je med drugim zajeto: </w:t>
      </w:r>
    </w:p>
    <w:p w14:paraId="7859DD60" w14:textId="77777777" w:rsidR="00F55D9A" w:rsidRPr="00F55D9A" w:rsidRDefault="00F55D9A" w:rsidP="00F55D9A">
      <w:pPr>
        <w:numPr>
          <w:ilvl w:val="0"/>
          <w:numId w:val="14"/>
        </w:numPr>
        <w:jc w:val="both"/>
        <w:rPr>
          <w:lang w:val="sl-SI"/>
        </w:rPr>
      </w:pPr>
      <w:r w:rsidRPr="00F55D9A">
        <w:rPr>
          <w:lang w:val="sl-SI"/>
        </w:rPr>
        <w:t xml:space="preserve">posebne določbe za uvrščanje električnih in elektronskih odpadkov in ostankov (e-odpadki) v skladu z Baselsko konvencijo zaradi velikega obsega trgovine in </w:t>
      </w:r>
      <w:proofErr w:type="spellStart"/>
      <w:r w:rsidRPr="00F55D9A">
        <w:rPr>
          <w:lang w:val="sl-SI"/>
        </w:rPr>
        <w:t>okoljske</w:t>
      </w:r>
      <w:proofErr w:type="spellEnd"/>
      <w:r w:rsidRPr="00F55D9A">
        <w:rPr>
          <w:lang w:val="sl-SI"/>
        </w:rPr>
        <w:t xml:space="preserve"> problematike</w:t>
      </w:r>
    </w:p>
    <w:p w14:paraId="2A8E96A6" w14:textId="77777777" w:rsidR="00F55D9A" w:rsidRPr="00F55D9A" w:rsidRDefault="00F55D9A" w:rsidP="00F55D9A">
      <w:pPr>
        <w:numPr>
          <w:ilvl w:val="0"/>
          <w:numId w:val="14"/>
        </w:numPr>
        <w:jc w:val="both"/>
        <w:rPr>
          <w:lang w:val="sl-SI"/>
        </w:rPr>
      </w:pPr>
      <w:r w:rsidRPr="00F55D9A">
        <w:rPr>
          <w:lang w:val="sl-SI"/>
        </w:rPr>
        <w:t>določbe za nove tobačne in nikotinske izdelke, kot posledica težav pri uvrščanju teh izdelkov, pomanjkanja trgovinske statistike in velike denarne vrednosti trgovine s temi izdelki</w:t>
      </w:r>
    </w:p>
    <w:p w14:paraId="3B363200" w14:textId="77777777" w:rsidR="00F55D9A" w:rsidRPr="00F55D9A" w:rsidRDefault="00F55D9A" w:rsidP="00F55D9A">
      <w:pPr>
        <w:numPr>
          <w:ilvl w:val="0"/>
          <w:numId w:val="14"/>
        </w:numPr>
        <w:jc w:val="both"/>
        <w:rPr>
          <w:lang w:val="sl-SI"/>
        </w:rPr>
      </w:pPr>
      <w:r w:rsidRPr="00F55D9A">
        <w:rPr>
          <w:lang w:val="sl-SI"/>
        </w:rPr>
        <w:t xml:space="preserve">posebne določbe za uvrščanje </w:t>
      </w:r>
      <w:proofErr w:type="spellStart"/>
      <w:r w:rsidRPr="00F55D9A">
        <w:rPr>
          <w:lang w:val="sl-SI"/>
        </w:rPr>
        <w:t>dronov</w:t>
      </w:r>
      <w:proofErr w:type="spellEnd"/>
      <w:r w:rsidRPr="00F55D9A">
        <w:rPr>
          <w:lang w:val="sl-SI"/>
        </w:rPr>
        <w:t xml:space="preserve"> (brezpilotnih zrakoplovov) zaradi poenostavitve uvrščanja</w:t>
      </w:r>
    </w:p>
    <w:p w14:paraId="2928FFB8" w14:textId="77777777" w:rsidR="00F55D9A" w:rsidRPr="00F55D9A" w:rsidRDefault="00F55D9A" w:rsidP="00F55D9A">
      <w:pPr>
        <w:numPr>
          <w:ilvl w:val="0"/>
          <w:numId w:val="14"/>
        </w:numPr>
        <w:jc w:val="both"/>
        <w:rPr>
          <w:lang w:val="sl-SI"/>
        </w:rPr>
      </w:pPr>
      <w:r w:rsidRPr="00F55D9A">
        <w:rPr>
          <w:lang w:val="sl-SI"/>
        </w:rPr>
        <w:t>uvedba nove opombe in tarifne podštevilke za pametne telefone, ki bosta olajšali uvrščanje večnamenskih naprav</w:t>
      </w:r>
    </w:p>
    <w:p w14:paraId="24E707E4" w14:textId="77777777" w:rsidR="00F55D9A" w:rsidRPr="00F55D9A" w:rsidRDefault="00F55D9A" w:rsidP="00F55D9A">
      <w:pPr>
        <w:numPr>
          <w:ilvl w:val="0"/>
          <w:numId w:val="14"/>
        </w:numPr>
        <w:jc w:val="both"/>
        <w:rPr>
          <w:lang w:val="sl-SI"/>
        </w:rPr>
      </w:pPr>
      <w:r w:rsidRPr="00F55D9A">
        <w:rPr>
          <w:lang w:val="sl-SI"/>
        </w:rPr>
        <w:t>preoblikovanje tarifnih podštevilk za steklena vlakna ter izdelke iz njih in preoblikovanje tarifnih podštevilk za stroje za oblikovanje kovin, kot odraz tehnološkega napredka v teh sektorjih, pomanjkanja trgovinske statistike in težav pri uvrščanju</w:t>
      </w:r>
    </w:p>
    <w:p w14:paraId="4E268BB2" w14:textId="77777777" w:rsidR="00F55D9A" w:rsidRPr="00F55D9A" w:rsidRDefault="00F55D9A" w:rsidP="00F55D9A">
      <w:pPr>
        <w:numPr>
          <w:ilvl w:val="0"/>
          <w:numId w:val="14"/>
        </w:numPr>
        <w:jc w:val="both"/>
        <w:rPr>
          <w:lang w:val="sl-SI"/>
        </w:rPr>
      </w:pPr>
      <w:r w:rsidRPr="00F55D9A">
        <w:rPr>
          <w:lang w:val="sl-SI"/>
        </w:rPr>
        <w:t>nove tarifne podštevilke za ravne ploske prikazovalnike, s čimer se bo odpravila potreba po opredelitvi končne rabe in poenostavilo uvrščanje</w:t>
      </w:r>
    </w:p>
    <w:p w14:paraId="37CA0BA6" w14:textId="77777777" w:rsidR="00F55D9A" w:rsidRPr="00F55D9A" w:rsidRDefault="00F55D9A" w:rsidP="00F55D9A">
      <w:pPr>
        <w:numPr>
          <w:ilvl w:val="0"/>
          <w:numId w:val="14"/>
        </w:numPr>
        <w:jc w:val="both"/>
        <w:rPr>
          <w:lang w:val="sl-SI"/>
        </w:rPr>
      </w:pPr>
      <w:r w:rsidRPr="00F55D9A">
        <w:rPr>
          <w:lang w:val="sl-SI"/>
        </w:rPr>
        <w:t>nove določbe za diagnostične reagente z namenom hitrejšega diagnosticiranja nalezljivih bolezni in pandemičnih izbruhov ter zmanjšanja zamud pri dobavi</w:t>
      </w:r>
    </w:p>
    <w:p w14:paraId="5D2DACEE" w14:textId="77777777" w:rsidR="00F55D9A" w:rsidRPr="00F55D9A" w:rsidRDefault="00F55D9A" w:rsidP="00F55D9A">
      <w:pPr>
        <w:numPr>
          <w:ilvl w:val="0"/>
          <w:numId w:val="14"/>
        </w:numPr>
        <w:jc w:val="both"/>
        <w:rPr>
          <w:lang w:val="sl-SI"/>
        </w:rPr>
      </w:pPr>
      <w:r w:rsidRPr="00F55D9A">
        <w:rPr>
          <w:lang w:val="sl-SI"/>
        </w:rPr>
        <w:t>nove določbe za placebe in komplete slepih kliničnih testov bodo pomagale olajšati čezmejne medicinske raziskave</w:t>
      </w:r>
    </w:p>
    <w:p w14:paraId="3C500732" w14:textId="77777777" w:rsidR="00F55D9A" w:rsidRPr="00F55D9A" w:rsidRDefault="00F55D9A" w:rsidP="00F55D9A">
      <w:pPr>
        <w:numPr>
          <w:ilvl w:val="0"/>
          <w:numId w:val="14"/>
        </w:numPr>
        <w:jc w:val="both"/>
        <w:rPr>
          <w:lang w:val="sl-SI"/>
        </w:rPr>
      </w:pPr>
      <w:r w:rsidRPr="00F55D9A">
        <w:rPr>
          <w:lang w:val="sl-SI"/>
        </w:rPr>
        <w:t>posebne določbe za celične kulture in celične terapije</w:t>
      </w:r>
    </w:p>
    <w:p w14:paraId="6530CFBF" w14:textId="77777777" w:rsidR="00F55D9A" w:rsidRPr="00F55D9A" w:rsidRDefault="00F55D9A" w:rsidP="00F55D9A">
      <w:pPr>
        <w:numPr>
          <w:ilvl w:val="0"/>
          <w:numId w:val="14"/>
        </w:numPr>
        <w:jc w:val="both"/>
        <w:rPr>
          <w:lang w:val="sl-SI"/>
        </w:rPr>
      </w:pPr>
      <w:r w:rsidRPr="00F55D9A">
        <w:rPr>
          <w:lang w:val="sl-SI"/>
        </w:rPr>
        <w:t>nove določbe za različno blago z dvojno rabo (od strupenih snovi do laboratorijske opreme)</w:t>
      </w:r>
    </w:p>
    <w:p w14:paraId="1C9EB046" w14:textId="77777777" w:rsidR="00F55D9A" w:rsidRPr="00F55D9A" w:rsidRDefault="00F55D9A" w:rsidP="00F55D9A">
      <w:pPr>
        <w:numPr>
          <w:ilvl w:val="0"/>
          <w:numId w:val="14"/>
        </w:numPr>
        <w:jc w:val="both"/>
        <w:rPr>
          <w:lang w:val="sl-SI"/>
        </w:rPr>
      </w:pPr>
      <w:r w:rsidRPr="00F55D9A">
        <w:rPr>
          <w:lang w:val="sl-SI"/>
        </w:rPr>
        <w:t>nove tarifne podštevilke za blago z dvojno rabo (radioaktivni elementi, biološke varnostne omarice), ki ga je mogoče preusmeriti v nepooblaščeno rabo, ter za izdelke, ki se uporabljajo za izdelavo improviziranih eksplozivnih naprav, kot so detonatorji</w:t>
      </w:r>
    </w:p>
    <w:p w14:paraId="0EDD37C3" w14:textId="77777777" w:rsidR="00F55D9A" w:rsidRPr="00F55D9A" w:rsidRDefault="00F55D9A" w:rsidP="00F55D9A">
      <w:pPr>
        <w:numPr>
          <w:ilvl w:val="0"/>
          <w:numId w:val="14"/>
        </w:numPr>
        <w:jc w:val="both"/>
        <w:rPr>
          <w:lang w:val="sl-SI"/>
        </w:rPr>
      </w:pPr>
      <w:r w:rsidRPr="00F55D9A">
        <w:rPr>
          <w:lang w:val="sl-SI"/>
        </w:rPr>
        <w:t>nove tarifne podštevilke za posebne kemikalije, nadzorovane s Konvencijo o kemičnem orožju, za nevarne kemikalije, ki so predmet Rotterdamske konvencije ter za nekatere kemikalije, ki povzročajo onesnaževanje okolja in so pod okriljem Stockholmske konvencije</w:t>
      </w:r>
    </w:p>
    <w:p w14:paraId="57B0EE82" w14:textId="77777777" w:rsidR="00F55D9A" w:rsidRPr="00F55D9A" w:rsidRDefault="00F55D9A" w:rsidP="00F55D9A">
      <w:pPr>
        <w:numPr>
          <w:ilvl w:val="0"/>
          <w:numId w:val="14"/>
        </w:numPr>
        <w:jc w:val="both"/>
        <w:rPr>
          <w:lang w:val="sl-SI"/>
        </w:rPr>
      </w:pPr>
      <w:r w:rsidRPr="00F55D9A">
        <w:rPr>
          <w:lang w:val="sl-SI"/>
        </w:rPr>
        <w:t xml:space="preserve">nove tarifne podštevilke za spremljanje in nadzor </w:t>
      </w:r>
      <w:proofErr w:type="spellStart"/>
      <w:r w:rsidRPr="00F55D9A">
        <w:rPr>
          <w:lang w:val="sl-SI"/>
        </w:rPr>
        <w:t>fentanila</w:t>
      </w:r>
      <w:proofErr w:type="spellEnd"/>
      <w:r w:rsidRPr="00F55D9A">
        <w:rPr>
          <w:lang w:val="sl-SI"/>
        </w:rPr>
        <w:t xml:space="preserve"> in njegovih derivatov ter dveh predhodnih sestavin </w:t>
      </w:r>
      <w:proofErr w:type="spellStart"/>
      <w:r w:rsidRPr="00F55D9A">
        <w:rPr>
          <w:lang w:val="sl-SI"/>
        </w:rPr>
        <w:t>fentanila</w:t>
      </w:r>
      <w:proofErr w:type="spellEnd"/>
      <w:r w:rsidRPr="00F55D9A">
        <w:rPr>
          <w:lang w:val="sl-SI"/>
        </w:rPr>
        <w:t xml:space="preserve"> na zahtevo Mednarodnega nadzornega odbora za droge</w:t>
      </w:r>
    </w:p>
    <w:p w14:paraId="39BAD3AF" w14:textId="77777777" w:rsidR="00F55D9A" w:rsidRPr="00F55D9A" w:rsidRDefault="00F55D9A" w:rsidP="00F55D9A">
      <w:pPr>
        <w:numPr>
          <w:ilvl w:val="0"/>
          <w:numId w:val="14"/>
        </w:numPr>
        <w:jc w:val="both"/>
        <w:rPr>
          <w:lang w:val="sl-SI"/>
        </w:rPr>
      </w:pPr>
      <w:r w:rsidRPr="00F55D9A">
        <w:rPr>
          <w:lang w:val="sl-SI"/>
        </w:rPr>
        <w:t xml:space="preserve">nove določbe in nova tarifna številka za pline, nadzorovane v okviru </w:t>
      </w:r>
      <w:proofErr w:type="spellStart"/>
      <w:r w:rsidRPr="00F55D9A">
        <w:rPr>
          <w:lang w:val="sl-SI"/>
        </w:rPr>
        <w:t>Kigalijske</w:t>
      </w:r>
      <w:proofErr w:type="spellEnd"/>
      <w:r w:rsidRPr="00F55D9A">
        <w:rPr>
          <w:lang w:val="sl-SI"/>
        </w:rPr>
        <w:t xml:space="preserve"> spremembe Montrealskega protokola</w:t>
      </w:r>
    </w:p>
    <w:p w14:paraId="4F57ADF9" w14:textId="77777777" w:rsidR="00F55D9A" w:rsidRPr="00F55D9A" w:rsidRDefault="00F55D9A" w:rsidP="00F55D9A">
      <w:pPr>
        <w:numPr>
          <w:ilvl w:val="0"/>
          <w:numId w:val="14"/>
        </w:numPr>
        <w:jc w:val="both"/>
        <w:rPr>
          <w:lang w:val="sl-SI"/>
        </w:rPr>
      </w:pPr>
      <w:r w:rsidRPr="00F55D9A">
        <w:rPr>
          <w:lang w:val="sl-SI"/>
        </w:rPr>
        <w:t>uskladitev besedil med francoščino in angleščino glede ustreznega merjenja neobdelanega lesa</w:t>
      </w:r>
    </w:p>
    <w:p w14:paraId="71BA1BA5" w14:textId="77777777" w:rsidR="00F55D9A" w:rsidRPr="00235610" w:rsidRDefault="00F55D9A" w:rsidP="00BA4F8E">
      <w:pPr>
        <w:jc w:val="both"/>
        <w:rPr>
          <w:lang w:val="sl-SI"/>
        </w:rPr>
      </w:pPr>
    </w:p>
    <w:p w14:paraId="0BC38241" w14:textId="77777777" w:rsidR="008321F0" w:rsidRDefault="008321F0" w:rsidP="00BA4F8E">
      <w:pPr>
        <w:jc w:val="both"/>
        <w:rPr>
          <w:lang w:val="sl-SI"/>
        </w:rPr>
      </w:pPr>
    </w:p>
    <w:p w14:paraId="6668AE16" w14:textId="77777777" w:rsidR="00E2546D" w:rsidRDefault="00E2546D" w:rsidP="00C41AB2">
      <w:pPr>
        <w:jc w:val="both"/>
        <w:rPr>
          <w:lang w:val="sl-SI"/>
        </w:rPr>
      </w:pPr>
    </w:p>
    <w:p w14:paraId="58EB5DDA" w14:textId="77777777" w:rsidR="008210F7" w:rsidRDefault="008210F7" w:rsidP="00BA4F8E">
      <w:pPr>
        <w:jc w:val="both"/>
        <w:rPr>
          <w:lang w:val="sl-SI"/>
        </w:rPr>
      </w:pPr>
    </w:p>
    <w:p w14:paraId="587C688F" w14:textId="77777777" w:rsidR="00CB52DE" w:rsidRPr="00CB52DE" w:rsidRDefault="00CB52DE" w:rsidP="008C3E70">
      <w:pPr>
        <w:pStyle w:val="FURSnaslov1"/>
        <w:pageBreakBefore/>
      </w:pPr>
      <w:bookmarkStart w:id="2" w:name="_Toc412813701"/>
      <w:r>
        <w:lastRenderedPageBreak/>
        <w:t>3</w:t>
      </w:r>
      <w:r w:rsidRPr="00CB52DE">
        <w:t xml:space="preserve">.0 </w:t>
      </w:r>
      <w:r>
        <w:t xml:space="preserve">POJASNJEVALNE OPOMBE </w:t>
      </w:r>
      <w:r w:rsidR="00FD0ED3">
        <w:t xml:space="preserve">K NOMENKLATURI </w:t>
      </w:r>
      <w:r>
        <w:t>HARMONIZIRANEGA SISTEMA</w:t>
      </w:r>
      <w:bookmarkEnd w:id="2"/>
      <w:r w:rsidRPr="00CB52DE">
        <w:t xml:space="preserve"> </w:t>
      </w:r>
    </w:p>
    <w:p w14:paraId="37C41329" w14:textId="77777777" w:rsidR="00F53E02" w:rsidRPr="00F53E02" w:rsidRDefault="00F53E02" w:rsidP="00F53E02">
      <w:pPr>
        <w:jc w:val="both"/>
        <w:rPr>
          <w:b/>
          <w:sz w:val="24"/>
          <w:lang w:val="sl-SI"/>
        </w:rPr>
      </w:pPr>
    </w:p>
    <w:p w14:paraId="781FE43B" w14:textId="77777777" w:rsidR="008210F7" w:rsidRPr="008210F7" w:rsidRDefault="00C80900" w:rsidP="008210F7">
      <w:pPr>
        <w:jc w:val="both"/>
        <w:rPr>
          <w:lang w:val="sl-SI"/>
        </w:rPr>
      </w:pPr>
      <w:r w:rsidRPr="00C80900">
        <w:rPr>
          <w:lang w:val="sl-SI"/>
        </w:rPr>
        <w:t xml:space="preserve">Uradna razlaga </w:t>
      </w:r>
      <w:r w:rsidR="00FD0ED3">
        <w:rPr>
          <w:lang w:val="sl-SI"/>
        </w:rPr>
        <w:t xml:space="preserve">nomenklature </w:t>
      </w:r>
      <w:r w:rsidR="00B7796A">
        <w:rPr>
          <w:lang w:val="sl-SI"/>
        </w:rPr>
        <w:t>harmoniziranega sistema (</w:t>
      </w:r>
      <w:r w:rsidRPr="00C80900">
        <w:rPr>
          <w:lang w:val="sl-SI"/>
        </w:rPr>
        <w:t>HS</w:t>
      </w:r>
      <w:r w:rsidR="00B7796A">
        <w:rPr>
          <w:lang w:val="sl-SI"/>
        </w:rPr>
        <w:t>)</w:t>
      </w:r>
      <w:r w:rsidRPr="00C80900">
        <w:rPr>
          <w:lang w:val="sl-SI"/>
        </w:rPr>
        <w:t xml:space="preserve"> je podana v t.</w:t>
      </w:r>
      <w:r w:rsidR="008C3E70">
        <w:rPr>
          <w:lang w:val="sl-SI"/>
        </w:rPr>
        <w:t xml:space="preserve"> </w:t>
      </w:r>
      <w:r w:rsidRPr="00C80900">
        <w:rPr>
          <w:lang w:val="sl-SI"/>
        </w:rPr>
        <w:t>i. pojasnjevalnih opombah</w:t>
      </w:r>
      <w:r w:rsidR="008210F7">
        <w:rPr>
          <w:lang w:val="sl-SI"/>
        </w:rPr>
        <w:t xml:space="preserve"> HS </w:t>
      </w:r>
      <w:r w:rsidR="008210F7" w:rsidRPr="008210F7">
        <w:rPr>
          <w:lang w:val="sl-SI"/>
        </w:rPr>
        <w:t xml:space="preserve">(angl. </w:t>
      </w:r>
      <w:r w:rsidR="008210F7" w:rsidRPr="008210F7">
        <w:rPr>
          <w:i/>
          <w:lang w:val="sl-SI"/>
        </w:rPr>
        <w:t>HS</w:t>
      </w:r>
      <w:r w:rsidR="008210F7" w:rsidRPr="008210F7">
        <w:rPr>
          <w:lang w:val="sl-SI"/>
        </w:rPr>
        <w:t xml:space="preserve"> </w:t>
      </w:r>
      <w:proofErr w:type="spellStart"/>
      <w:r w:rsidR="008210F7" w:rsidRPr="008210F7">
        <w:rPr>
          <w:i/>
          <w:lang w:val="sl-SI"/>
        </w:rPr>
        <w:t>Explanatory</w:t>
      </w:r>
      <w:proofErr w:type="spellEnd"/>
      <w:r w:rsidR="008210F7" w:rsidRPr="008210F7">
        <w:rPr>
          <w:i/>
          <w:lang w:val="sl-SI"/>
        </w:rPr>
        <w:t xml:space="preserve"> Notes</w:t>
      </w:r>
      <w:r w:rsidR="008210F7" w:rsidRPr="008210F7">
        <w:rPr>
          <w:lang w:val="sl-SI"/>
        </w:rPr>
        <w:t>)</w:t>
      </w:r>
      <w:r w:rsidRPr="00C80900">
        <w:rPr>
          <w:lang w:val="sl-SI"/>
        </w:rPr>
        <w:t xml:space="preserve">, ki jih izdaja </w:t>
      </w:r>
      <w:r w:rsidR="008210F7">
        <w:rPr>
          <w:lang w:val="sl-SI"/>
        </w:rPr>
        <w:t>S</w:t>
      </w:r>
      <w:r w:rsidR="00D503A7">
        <w:rPr>
          <w:lang w:val="sl-SI"/>
        </w:rPr>
        <w:t>vetovna carinska o</w:t>
      </w:r>
      <w:r w:rsidR="00A32E62">
        <w:rPr>
          <w:lang w:val="sl-SI"/>
        </w:rPr>
        <w:t>r</w:t>
      </w:r>
      <w:r w:rsidR="00D503A7">
        <w:rPr>
          <w:lang w:val="sl-SI"/>
        </w:rPr>
        <w:t>ganizacija</w:t>
      </w:r>
      <w:r w:rsidR="008210F7">
        <w:rPr>
          <w:lang w:val="sl-SI"/>
        </w:rPr>
        <w:t xml:space="preserve"> in so</w:t>
      </w:r>
      <w:r w:rsidR="008210F7" w:rsidRPr="008210F7">
        <w:rPr>
          <w:lang w:val="sl-SI"/>
        </w:rPr>
        <w:t xml:space="preserve"> pomembno sredstvo za zagotavljanje enotnega </w:t>
      </w:r>
      <w:r w:rsidR="00A32E62">
        <w:rPr>
          <w:lang w:val="sl-SI"/>
        </w:rPr>
        <w:t xml:space="preserve">uvrščanja blaga in </w:t>
      </w:r>
      <w:r w:rsidR="008210F7" w:rsidRPr="008210F7">
        <w:rPr>
          <w:lang w:val="sl-SI"/>
        </w:rPr>
        <w:t>izvajanj</w:t>
      </w:r>
      <w:r w:rsidR="00A32E62">
        <w:rPr>
          <w:lang w:val="sl-SI"/>
        </w:rPr>
        <w:t>e</w:t>
      </w:r>
      <w:r w:rsidR="008210F7" w:rsidRPr="008210F7">
        <w:rPr>
          <w:lang w:val="sl-SI"/>
        </w:rPr>
        <w:t xml:space="preserve"> skupne carinske tarife. </w:t>
      </w:r>
    </w:p>
    <w:p w14:paraId="7A83B18D" w14:textId="77777777" w:rsidR="00C80900" w:rsidRPr="00C80900" w:rsidRDefault="00C80900" w:rsidP="00C80900">
      <w:pPr>
        <w:jc w:val="both"/>
        <w:rPr>
          <w:lang w:val="sl-SI"/>
        </w:rPr>
      </w:pPr>
      <w:r w:rsidRPr="00C80900">
        <w:rPr>
          <w:lang w:val="sl-SI"/>
        </w:rPr>
        <w:t xml:space="preserve"> </w:t>
      </w:r>
    </w:p>
    <w:p w14:paraId="293F73D2" w14:textId="77777777" w:rsidR="00B7796A" w:rsidRPr="00B7796A" w:rsidRDefault="00492862" w:rsidP="00B7796A">
      <w:pPr>
        <w:jc w:val="both"/>
        <w:rPr>
          <w:lang w:val="sl-SI"/>
        </w:rPr>
      </w:pPr>
      <w:r w:rsidRPr="00492862">
        <w:rPr>
          <w:lang w:val="sl-SI"/>
        </w:rPr>
        <w:t xml:space="preserve">Pojasnjevalne opombe HS in </w:t>
      </w:r>
      <w:r w:rsidR="00E44ED5">
        <w:rPr>
          <w:lang w:val="sl-SI"/>
        </w:rPr>
        <w:t>mnenja</w:t>
      </w:r>
      <w:r w:rsidRPr="00492862">
        <w:rPr>
          <w:lang w:val="sl-SI"/>
        </w:rPr>
        <w:t xml:space="preserve"> o uvrstitvi določenega blaga (angl. </w:t>
      </w:r>
      <w:r w:rsidRPr="00492862">
        <w:rPr>
          <w:i/>
          <w:lang w:val="sl-SI"/>
        </w:rPr>
        <w:t xml:space="preserve">Classification </w:t>
      </w:r>
      <w:proofErr w:type="spellStart"/>
      <w:r w:rsidRPr="00492862">
        <w:rPr>
          <w:i/>
          <w:lang w:val="sl-SI"/>
        </w:rPr>
        <w:t>Opinion</w:t>
      </w:r>
      <w:r w:rsidR="00E44ED5">
        <w:rPr>
          <w:i/>
          <w:lang w:val="sl-SI"/>
        </w:rPr>
        <w:t>s</w:t>
      </w:r>
      <w:proofErr w:type="spellEnd"/>
      <w:r w:rsidRPr="00492862">
        <w:rPr>
          <w:lang w:val="sl-SI"/>
        </w:rPr>
        <w:t xml:space="preserve">) izdaja </w:t>
      </w:r>
      <w:r w:rsidR="008210F7">
        <w:rPr>
          <w:lang w:val="sl-SI"/>
        </w:rPr>
        <w:t>S</w:t>
      </w:r>
      <w:r w:rsidR="00A32E62">
        <w:rPr>
          <w:lang w:val="sl-SI"/>
        </w:rPr>
        <w:t xml:space="preserve">vetovna carinska organizacija </w:t>
      </w:r>
      <w:r w:rsidRPr="00492862">
        <w:rPr>
          <w:lang w:val="sl-SI"/>
        </w:rPr>
        <w:t>kot dva pripomočka, s katerim</w:t>
      </w:r>
      <w:r w:rsidR="008C3E70">
        <w:rPr>
          <w:lang w:val="sl-SI"/>
        </w:rPr>
        <w:t>a</w:t>
      </w:r>
      <w:r w:rsidRPr="00492862">
        <w:rPr>
          <w:lang w:val="sl-SI"/>
        </w:rPr>
        <w:t xml:space="preserve"> naj bi se v svetovnem merilu zagotovil</w:t>
      </w:r>
      <w:r w:rsidR="00E44ED5">
        <w:rPr>
          <w:lang w:val="sl-SI"/>
        </w:rPr>
        <w:t>o</w:t>
      </w:r>
      <w:r w:rsidRPr="00492862">
        <w:rPr>
          <w:lang w:val="sl-SI"/>
        </w:rPr>
        <w:t xml:space="preserve"> praviln</w:t>
      </w:r>
      <w:r w:rsidR="008C3E70">
        <w:rPr>
          <w:lang w:val="sl-SI"/>
        </w:rPr>
        <w:t>o</w:t>
      </w:r>
      <w:r w:rsidRPr="00492862">
        <w:rPr>
          <w:lang w:val="sl-SI"/>
        </w:rPr>
        <w:t xml:space="preserve"> uvrščanje blaga po </w:t>
      </w:r>
      <w:r w:rsidR="00E44ED5">
        <w:rPr>
          <w:lang w:val="sl-SI"/>
        </w:rPr>
        <w:t xml:space="preserve">nomenklaturi </w:t>
      </w:r>
      <w:r w:rsidRPr="00492862">
        <w:rPr>
          <w:lang w:val="sl-SI"/>
        </w:rPr>
        <w:t xml:space="preserve">HS in enotna razlaga sistema. Omenjena pripomočka nista del konvencije o HS in zato nista pravno obvezujoča, vendar sta pri vsakodnevni uporabi skupne carinske tarife EU nepogrešljiva elementa pri </w:t>
      </w:r>
      <w:r w:rsidR="00B7796A">
        <w:rPr>
          <w:lang w:val="sl-SI"/>
        </w:rPr>
        <w:t>pojasnjevanju in tolmačenju</w:t>
      </w:r>
      <w:r w:rsidRPr="00492862">
        <w:rPr>
          <w:lang w:val="sl-SI"/>
        </w:rPr>
        <w:t xml:space="preserve"> tarifnih številk in podštevilk, kar je potrdila tudi sodna praksa.</w:t>
      </w:r>
      <w:r w:rsidR="00B7796A" w:rsidRPr="00B7796A">
        <w:rPr>
          <w:lang w:val="sl-SI"/>
        </w:rPr>
        <w:t xml:space="preserve"> Sodišče Evropske unije </w:t>
      </w:r>
      <w:r w:rsidR="001E4AFF">
        <w:rPr>
          <w:lang w:val="sl-SI"/>
        </w:rPr>
        <w:t>meni</w:t>
      </w:r>
      <w:r w:rsidR="00B7796A" w:rsidRPr="00B7796A">
        <w:rPr>
          <w:lang w:val="sl-SI"/>
        </w:rPr>
        <w:t xml:space="preserve">, da </w:t>
      </w:r>
      <w:r w:rsidR="001E4AFF">
        <w:rPr>
          <w:lang w:val="sl-SI"/>
        </w:rPr>
        <w:t>pripomočka sicer nista zakonsko obvezujoča</w:t>
      </w:r>
      <w:r w:rsidR="00B7796A" w:rsidRPr="00B7796A">
        <w:rPr>
          <w:lang w:val="sl-SI"/>
        </w:rPr>
        <w:t xml:space="preserve">, vendar pomembno </w:t>
      </w:r>
      <w:r w:rsidR="001E4AFF">
        <w:rPr>
          <w:lang w:val="sl-SI"/>
        </w:rPr>
        <w:t>prispevata</w:t>
      </w:r>
      <w:r w:rsidR="00B7796A" w:rsidRPr="00B7796A">
        <w:rPr>
          <w:lang w:val="sl-SI"/>
        </w:rPr>
        <w:t xml:space="preserve"> k razlagi področja uporabe posameznih tarifnih </w:t>
      </w:r>
      <w:r w:rsidR="001E4AFF">
        <w:rPr>
          <w:lang w:val="sl-SI"/>
        </w:rPr>
        <w:t>številk</w:t>
      </w:r>
      <w:r w:rsidR="00B7796A" w:rsidRPr="00B7796A">
        <w:rPr>
          <w:lang w:val="sl-SI"/>
        </w:rPr>
        <w:t xml:space="preserve"> HS.   </w:t>
      </w:r>
    </w:p>
    <w:p w14:paraId="024B1409" w14:textId="77777777" w:rsidR="00492862" w:rsidRPr="00492862" w:rsidRDefault="00492862" w:rsidP="00492862">
      <w:pPr>
        <w:jc w:val="both"/>
        <w:rPr>
          <w:lang w:val="sl-SI"/>
        </w:rPr>
      </w:pPr>
    </w:p>
    <w:p w14:paraId="154C6175" w14:textId="2F4C1280" w:rsidR="008E44AB" w:rsidRDefault="00492862" w:rsidP="008210F7">
      <w:pPr>
        <w:jc w:val="both"/>
        <w:rPr>
          <w:lang w:val="sl-SI"/>
        </w:rPr>
      </w:pPr>
      <w:r w:rsidRPr="00492862">
        <w:rPr>
          <w:lang w:val="sl-SI"/>
        </w:rPr>
        <w:t xml:space="preserve">Pobude za spremembo pojasnjevalnih opomb HS, ki se nanašajo na </w:t>
      </w:r>
      <w:r w:rsidR="00DF3376">
        <w:rPr>
          <w:lang w:val="sl-SI"/>
        </w:rPr>
        <w:t>posamezen</w:t>
      </w:r>
      <w:r w:rsidRPr="00492862">
        <w:rPr>
          <w:lang w:val="sl-SI"/>
        </w:rPr>
        <w:t xml:space="preserve"> predmet, lahko predlaga sekretariat </w:t>
      </w:r>
      <w:r w:rsidR="008210F7">
        <w:rPr>
          <w:lang w:val="sl-SI"/>
        </w:rPr>
        <w:t>S</w:t>
      </w:r>
      <w:r w:rsidR="001E4AFF">
        <w:rPr>
          <w:lang w:val="sl-SI"/>
        </w:rPr>
        <w:t>vetovne carinske organizacije</w:t>
      </w:r>
      <w:r w:rsidRPr="00492862">
        <w:rPr>
          <w:lang w:val="sl-SI"/>
        </w:rPr>
        <w:t>, lahko pa tudi katera koli država pogodbenica</w:t>
      </w:r>
      <w:r w:rsidR="00B7796A">
        <w:rPr>
          <w:lang w:val="sl-SI"/>
        </w:rPr>
        <w:t>, p</w:t>
      </w:r>
      <w:r w:rsidR="00B7796A" w:rsidRPr="00B7796A">
        <w:rPr>
          <w:lang w:val="sl-SI"/>
        </w:rPr>
        <w:t>ripravlja </w:t>
      </w:r>
      <w:r w:rsidR="00B7796A">
        <w:rPr>
          <w:lang w:val="sl-SI"/>
        </w:rPr>
        <w:t xml:space="preserve">pa </w:t>
      </w:r>
      <w:r w:rsidR="00B7796A" w:rsidRPr="00B7796A">
        <w:rPr>
          <w:lang w:val="sl-SI"/>
        </w:rPr>
        <w:t>jih Odbor za harmoniziran</w:t>
      </w:r>
      <w:r w:rsidR="006934B0">
        <w:rPr>
          <w:lang w:val="sl-SI"/>
        </w:rPr>
        <w:t>i</w:t>
      </w:r>
      <w:r w:rsidR="00B7796A" w:rsidRPr="00B7796A">
        <w:rPr>
          <w:lang w:val="sl-SI"/>
        </w:rPr>
        <w:t xml:space="preserve"> sistem.</w:t>
      </w:r>
      <w:r w:rsidR="00B7796A">
        <w:rPr>
          <w:lang w:val="sl-SI"/>
        </w:rPr>
        <w:t xml:space="preserve"> </w:t>
      </w:r>
      <w:r w:rsidR="008210F7" w:rsidRPr="008210F7">
        <w:rPr>
          <w:lang w:val="sl-SI"/>
        </w:rPr>
        <w:t>S</w:t>
      </w:r>
      <w:r w:rsidR="001E4AFF">
        <w:rPr>
          <w:lang w:val="sl-SI"/>
        </w:rPr>
        <w:t>vetovna carinska organizacija</w:t>
      </w:r>
      <w:r w:rsidR="008210F7" w:rsidRPr="008210F7">
        <w:rPr>
          <w:lang w:val="sl-SI"/>
        </w:rPr>
        <w:t xml:space="preserve"> izdaja </w:t>
      </w:r>
      <w:r w:rsidR="00B7796A">
        <w:rPr>
          <w:lang w:val="sl-SI"/>
        </w:rPr>
        <w:t xml:space="preserve">pojasnjevalne opombe </w:t>
      </w:r>
      <w:r w:rsidR="008210F7" w:rsidRPr="008210F7">
        <w:rPr>
          <w:lang w:val="sl-SI"/>
        </w:rPr>
        <w:t>HS v angleškem in francoskem jeziku. </w:t>
      </w:r>
    </w:p>
    <w:p w14:paraId="2E438439" w14:textId="77777777" w:rsidR="001E4AFF" w:rsidRDefault="001E4AFF" w:rsidP="008210F7">
      <w:pPr>
        <w:jc w:val="both"/>
        <w:rPr>
          <w:lang w:val="sl-SI"/>
        </w:rPr>
      </w:pPr>
    </w:p>
    <w:p w14:paraId="6F344A75" w14:textId="77777777" w:rsidR="00E44ED5" w:rsidRPr="00E44ED5" w:rsidRDefault="00E44ED5" w:rsidP="00E44ED5">
      <w:pPr>
        <w:jc w:val="both"/>
        <w:rPr>
          <w:lang w:val="sl-SI"/>
        </w:rPr>
      </w:pPr>
      <w:r w:rsidRPr="00E44ED5">
        <w:rPr>
          <w:lang w:val="sl-SI"/>
        </w:rPr>
        <w:t>Do spletne verzije pojasnjevalnih opomb HS 20</w:t>
      </w:r>
      <w:r w:rsidR="001B301D">
        <w:rPr>
          <w:lang w:val="sl-SI"/>
        </w:rPr>
        <w:t>22</w:t>
      </w:r>
      <w:r w:rsidRPr="00E44ED5">
        <w:rPr>
          <w:lang w:val="sl-SI"/>
        </w:rPr>
        <w:t xml:space="preserve"> </w:t>
      </w:r>
      <w:r w:rsidR="00BE0231" w:rsidRPr="00BE0231">
        <w:rPr>
          <w:lang w:val="sl-SI"/>
        </w:rPr>
        <w:t xml:space="preserve">(angl. </w:t>
      </w:r>
      <w:r w:rsidR="00BE0231" w:rsidRPr="00BE0231">
        <w:rPr>
          <w:i/>
          <w:lang w:val="sl-SI"/>
        </w:rPr>
        <w:t>HS</w:t>
      </w:r>
      <w:r w:rsidR="00BE0231" w:rsidRPr="00BE0231">
        <w:rPr>
          <w:lang w:val="sl-SI"/>
        </w:rPr>
        <w:t xml:space="preserve"> </w:t>
      </w:r>
      <w:proofErr w:type="spellStart"/>
      <w:r w:rsidR="00BE0231" w:rsidRPr="00BE0231">
        <w:rPr>
          <w:i/>
          <w:lang w:val="sl-SI"/>
        </w:rPr>
        <w:t>Explanatory</w:t>
      </w:r>
      <w:proofErr w:type="spellEnd"/>
      <w:r w:rsidR="00BE0231" w:rsidRPr="00BE0231">
        <w:rPr>
          <w:i/>
          <w:lang w:val="sl-SI"/>
        </w:rPr>
        <w:t xml:space="preserve"> Notes</w:t>
      </w:r>
      <w:r w:rsidR="00BE0231" w:rsidRPr="00BE0231">
        <w:rPr>
          <w:lang w:val="sl-SI"/>
        </w:rPr>
        <w:t xml:space="preserve">) </w:t>
      </w:r>
      <w:r w:rsidR="00BE0231">
        <w:rPr>
          <w:lang w:val="sl-SI"/>
        </w:rPr>
        <w:t xml:space="preserve">in Zbirke mnenj o uvrstitvi blaga </w:t>
      </w:r>
      <w:r w:rsidR="00BE0231" w:rsidRPr="00BE0231">
        <w:rPr>
          <w:lang w:val="sl-SI"/>
        </w:rPr>
        <w:t xml:space="preserve">(angl. </w:t>
      </w:r>
      <w:proofErr w:type="spellStart"/>
      <w:r w:rsidR="00BE0231" w:rsidRPr="00BE0231">
        <w:rPr>
          <w:i/>
          <w:lang w:val="sl-SI"/>
        </w:rPr>
        <w:t>Compendium</w:t>
      </w:r>
      <w:proofErr w:type="spellEnd"/>
      <w:r w:rsidR="00BE0231" w:rsidRPr="00BE0231">
        <w:rPr>
          <w:i/>
          <w:lang w:val="sl-SI"/>
        </w:rPr>
        <w:t xml:space="preserve"> of classification </w:t>
      </w:r>
      <w:proofErr w:type="spellStart"/>
      <w:r w:rsidR="00BE0231" w:rsidRPr="00BE0231">
        <w:rPr>
          <w:i/>
          <w:lang w:val="sl-SI"/>
        </w:rPr>
        <w:t>opinions</w:t>
      </w:r>
      <w:proofErr w:type="spellEnd"/>
      <w:r w:rsidR="00BE0231" w:rsidRPr="00BE0231">
        <w:rPr>
          <w:lang w:val="sl-SI"/>
        </w:rPr>
        <w:t xml:space="preserve">) </w:t>
      </w:r>
      <w:r w:rsidRPr="00E44ED5">
        <w:rPr>
          <w:lang w:val="sl-SI"/>
        </w:rPr>
        <w:t>lahko dostopate na spletni strani Svetovne carinske organizacije na osnovi naročnine:</w:t>
      </w:r>
    </w:p>
    <w:p w14:paraId="44195CD8" w14:textId="77777777" w:rsidR="00E44ED5" w:rsidRDefault="00756C8B" w:rsidP="00E44ED5">
      <w:pPr>
        <w:jc w:val="both"/>
        <w:rPr>
          <w:lang w:val="sl-SI"/>
        </w:rPr>
      </w:pPr>
      <w:hyperlink r:id="rId16" w:history="1">
        <w:r w:rsidR="00E44ED5" w:rsidRPr="00E44ED5">
          <w:rPr>
            <w:rStyle w:val="Hiperpovezava"/>
            <w:lang w:val="sl-SI"/>
          </w:rPr>
          <w:t xml:space="preserve">WCO </w:t>
        </w:r>
        <w:proofErr w:type="spellStart"/>
        <w:r w:rsidR="00E44ED5" w:rsidRPr="00E44ED5">
          <w:rPr>
            <w:rStyle w:val="Hiperpovezava"/>
            <w:lang w:val="sl-SI"/>
          </w:rPr>
          <w:t>Trade</w:t>
        </w:r>
        <w:proofErr w:type="spellEnd"/>
        <w:r w:rsidR="00E44ED5" w:rsidRPr="00E44ED5">
          <w:rPr>
            <w:rStyle w:val="Hiperpovezava"/>
            <w:lang w:val="sl-SI"/>
          </w:rPr>
          <w:t xml:space="preserve"> </w:t>
        </w:r>
        <w:proofErr w:type="spellStart"/>
        <w:r w:rsidR="00E44ED5" w:rsidRPr="00E44ED5">
          <w:rPr>
            <w:rStyle w:val="Hiperpovezava"/>
            <w:lang w:val="sl-SI"/>
          </w:rPr>
          <w:t>Tools</w:t>
        </w:r>
        <w:proofErr w:type="spellEnd"/>
      </w:hyperlink>
    </w:p>
    <w:p w14:paraId="1C0BAB81" w14:textId="77777777" w:rsidR="00E44ED5" w:rsidRDefault="00E44ED5" w:rsidP="00E44ED5">
      <w:pPr>
        <w:jc w:val="both"/>
        <w:rPr>
          <w:lang w:val="sl-SI"/>
        </w:rPr>
      </w:pPr>
    </w:p>
    <w:p w14:paraId="06BF2FF6" w14:textId="77777777" w:rsidR="008E44AB" w:rsidRDefault="008E44AB" w:rsidP="008E44AB">
      <w:pPr>
        <w:jc w:val="both"/>
        <w:rPr>
          <w:lang w:val="sl-SI"/>
        </w:rPr>
      </w:pPr>
      <w:r>
        <w:rPr>
          <w:lang w:val="sl-SI"/>
        </w:rPr>
        <w:t>Nakup pojasnjevalnih opomb HS</w:t>
      </w:r>
      <w:r w:rsidR="00B537E9">
        <w:rPr>
          <w:lang w:val="sl-SI"/>
        </w:rPr>
        <w:t xml:space="preserve"> 20</w:t>
      </w:r>
      <w:r w:rsidR="001B301D">
        <w:rPr>
          <w:lang w:val="sl-SI"/>
        </w:rPr>
        <w:t>22</w:t>
      </w:r>
      <w:r w:rsidR="00B537E9">
        <w:rPr>
          <w:lang w:val="sl-SI"/>
        </w:rPr>
        <w:t xml:space="preserve"> v papirni verziji</w:t>
      </w:r>
      <w:r>
        <w:rPr>
          <w:lang w:val="sl-SI"/>
        </w:rPr>
        <w:t xml:space="preserve"> lahko opravite na spletni strani Svetovne carinske organizacije:</w:t>
      </w:r>
    </w:p>
    <w:p w14:paraId="6F9F9767" w14:textId="77777777" w:rsidR="003F5F59" w:rsidRDefault="00756C8B" w:rsidP="008210F7">
      <w:pPr>
        <w:jc w:val="both"/>
        <w:rPr>
          <w:lang w:val="sl-SI"/>
        </w:rPr>
      </w:pPr>
      <w:hyperlink r:id="rId17" w:history="1">
        <w:r w:rsidR="003F5F59" w:rsidRPr="003F5F59">
          <w:rPr>
            <w:color w:val="0000FF"/>
            <w:u w:val="single"/>
          </w:rPr>
          <w:t>Explanatory Notes 2022 | WCO Bookshop (wcoomdpublications.org)</w:t>
        </w:r>
      </w:hyperlink>
    </w:p>
    <w:p w14:paraId="58803C9C" w14:textId="77777777" w:rsidR="00E44ED5" w:rsidRDefault="00E44ED5" w:rsidP="008210F7">
      <w:pPr>
        <w:jc w:val="both"/>
        <w:rPr>
          <w:lang w:val="sl-SI"/>
        </w:rPr>
      </w:pPr>
      <w:r>
        <w:rPr>
          <w:lang w:val="sl-SI"/>
        </w:rPr>
        <w:t xml:space="preserve">Nakup Zbirke mnenj o uvrstitvi </w:t>
      </w:r>
      <w:r w:rsidR="00E0623C">
        <w:rPr>
          <w:lang w:val="sl-SI"/>
        </w:rPr>
        <w:t>bl</w:t>
      </w:r>
      <w:r>
        <w:rPr>
          <w:lang w:val="sl-SI"/>
        </w:rPr>
        <w:t xml:space="preserve">aga </w:t>
      </w:r>
      <w:r w:rsidR="00BE0231">
        <w:rPr>
          <w:lang w:val="sl-SI"/>
        </w:rPr>
        <w:t>20</w:t>
      </w:r>
      <w:r w:rsidR="001B301D">
        <w:rPr>
          <w:lang w:val="sl-SI"/>
        </w:rPr>
        <w:t>22</w:t>
      </w:r>
      <w:r w:rsidR="00BE0231">
        <w:rPr>
          <w:lang w:val="sl-SI"/>
        </w:rPr>
        <w:t xml:space="preserve"> </w:t>
      </w:r>
      <w:r>
        <w:rPr>
          <w:lang w:val="sl-SI"/>
        </w:rPr>
        <w:t>lahko opravite na spletni strani Svetovne carinske organizacije:</w:t>
      </w:r>
    </w:p>
    <w:p w14:paraId="4AA1FF9E" w14:textId="77777777" w:rsidR="008210F7" w:rsidRDefault="00756C8B" w:rsidP="008210F7">
      <w:pPr>
        <w:jc w:val="both"/>
        <w:rPr>
          <w:lang w:val="sl-SI"/>
        </w:rPr>
      </w:pPr>
      <w:hyperlink r:id="rId18" w:history="1">
        <w:r w:rsidR="003B379A" w:rsidRPr="003B379A">
          <w:rPr>
            <w:color w:val="0000FF"/>
            <w:u w:val="single"/>
          </w:rPr>
          <w:t>Compendium of Classification Opinions HS 2022 | WCO Bookshop (wcoomdpublications.org)</w:t>
        </w:r>
      </w:hyperlink>
    </w:p>
    <w:p w14:paraId="43D82D29" w14:textId="77777777" w:rsidR="00E44ED5" w:rsidRDefault="00E44ED5" w:rsidP="008210F7">
      <w:pPr>
        <w:jc w:val="both"/>
        <w:rPr>
          <w:lang w:val="sl-SI"/>
        </w:rPr>
      </w:pPr>
    </w:p>
    <w:p w14:paraId="574952CA" w14:textId="77777777" w:rsidR="00BE0231" w:rsidRPr="00BE0231" w:rsidRDefault="00BE0231" w:rsidP="00BE0231">
      <w:pPr>
        <w:jc w:val="both"/>
        <w:rPr>
          <w:lang w:val="sl-SI"/>
        </w:rPr>
      </w:pPr>
      <w:r w:rsidRPr="00BE0231">
        <w:rPr>
          <w:lang w:val="sl-SI"/>
        </w:rPr>
        <w:t>Zaradi nerešenega spora vezanega na avtorske pravice Svetovne carinske organizacije se pojasnjevalne opombe HS ne smejo uradno prevajati in distribuirati. Finančna uprava Republike Slovenije kot delovno gradivo uporablja pojasnjevalne opombe v angleščini ter neurad</w:t>
      </w:r>
      <w:r w:rsidR="003B379A">
        <w:rPr>
          <w:lang w:val="sl-SI"/>
        </w:rPr>
        <w:t>ni</w:t>
      </w:r>
      <w:r w:rsidRPr="00BE0231">
        <w:rPr>
          <w:lang w:val="sl-SI"/>
        </w:rPr>
        <w:t xml:space="preserve"> slovenski prevod. </w:t>
      </w:r>
    </w:p>
    <w:p w14:paraId="32F9E181" w14:textId="77777777" w:rsidR="00BE0231" w:rsidRPr="008210F7" w:rsidRDefault="003B379A" w:rsidP="008210F7">
      <w:pPr>
        <w:jc w:val="both"/>
        <w:rPr>
          <w:lang w:val="sl-SI"/>
        </w:rPr>
      </w:pPr>
      <w:r>
        <w:rPr>
          <w:lang w:val="sl-SI"/>
        </w:rPr>
        <w:t xml:space="preserve"> </w:t>
      </w:r>
    </w:p>
    <w:p w14:paraId="374CEEB3" w14:textId="77777777" w:rsidR="00492862" w:rsidRDefault="00492862" w:rsidP="009F385C">
      <w:pPr>
        <w:jc w:val="both"/>
        <w:rPr>
          <w:lang w:val="sl-SI"/>
        </w:rPr>
      </w:pPr>
    </w:p>
    <w:p w14:paraId="1D6E24E4" w14:textId="77777777" w:rsidR="007928FD" w:rsidRDefault="00C80900" w:rsidP="007928FD">
      <w:pPr>
        <w:pStyle w:val="FURSnaslov1"/>
      </w:pPr>
      <w:bookmarkStart w:id="3" w:name="_Toc400009062"/>
      <w:bookmarkStart w:id="4" w:name="_Toc412813702"/>
      <w:r>
        <w:t>4</w:t>
      </w:r>
      <w:r w:rsidR="007928FD" w:rsidRPr="00E57198">
        <w:t xml:space="preserve">.0 </w:t>
      </w:r>
      <w:bookmarkEnd w:id="3"/>
      <w:r w:rsidR="007928FD">
        <w:t>VLOGA SVETOVNE CARINSKE ORGANIZACIJE</w:t>
      </w:r>
      <w:bookmarkEnd w:id="4"/>
    </w:p>
    <w:p w14:paraId="258A0CD5" w14:textId="77777777" w:rsidR="007928FD" w:rsidRDefault="007928FD" w:rsidP="009F385C">
      <w:pPr>
        <w:jc w:val="both"/>
        <w:rPr>
          <w:lang w:val="sl-SI"/>
        </w:rPr>
      </w:pPr>
    </w:p>
    <w:p w14:paraId="3C1AFE3A" w14:textId="146E88E7" w:rsidR="00D95732" w:rsidRDefault="00BA4F8E" w:rsidP="009F385C">
      <w:pPr>
        <w:jc w:val="both"/>
        <w:rPr>
          <w:lang w:val="sl-SI"/>
        </w:rPr>
      </w:pPr>
      <w:r>
        <w:rPr>
          <w:lang w:val="sl-SI"/>
        </w:rPr>
        <w:t>P</w:t>
      </w:r>
      <w:r w:rsidR="009F385C" w:rsidRPr="009F385C">
        <w:rPr>
          <w:lang w:val="sl-SI"/>
        </w:rPr>
        <w:t>rednostna naloga S</w:t>
      </w:r>
      <w:r w:rsidR="005265EB">
        <w:rPr>
          <w:lang w:val="sl-SI"/>
        </w:rPr>
        <w:t>vetovne carinske organizacije</w:t>
      </w:r>
      <w:r w:rsidR="009F385C" w:rsidRPr="009F385C">
        <w:rPr>
          <w:lang w:val="sl-SI"/>
        </w:rPr>
        <w:t xml:space="preserve"> </w:t>
      </w:r>
      <w:r>
        <w:rPr>
          <w:lang w:val="sl-SI"/>
        </w:rPr>
        <w:t>je vzdrževanje sistema HS</w:t>
      </w:r>
      <w:r w:rsidR="005265EB">
        <w:rPr>
          <w:lang w:val="sl-SI"/>
        </w:rPr>
        <w:t>, ki</w:t>
      </w:r>
      <w:r w:rsidR="009F385C" w:rsidRPr="009F385C">
        <w:rPr>
          <w:lang w:val="sl-SI"/>
        </w:rPr>
        <w:t xml:space="preserve"> obsega predvsem ukrepe za zagotovitev enotnega tolmačenja sistema in ažurnosti glede na tehnološk</w:t>
      </w:r>
      <w:r w:rsidR="005265EB">
        <w:rPr>
          <w:lang w:val="sl-SI"/>
        </w:rPr>
        <w:t>i napredek</w:t>
      </w:r>
      <w:r w:rsidR="009F385C" w:rsidRPr="009F385C">
        <w:rPr>
          <w:lang w:val="sl-SI"/>
        </w:rPr>
        <w:t xml:space="preserve"> </w:t>
      </w:r>
      <w:r w:rsidR="005265EB">
        <w:rPr>
          <w:lang w:val="sl-SI"/>
        </w:rPr>
        <w:t xml:space="preserve">ter </w:t>
      </w:r>
      <w:r w:rsidR="009F385C" w:rsidRPr="009F385C">
        <w:rPr>
          <w:lang w:val="sl-SI"/>
        </w:rPr>
        <w:t>spremembe struktur mednarodne trgovine. Slednje izvaja S</w:t>
      </w:r>
      <w:r w:rsidR="005265EB">
        <w:rPr>
          <w:lang w:val="sl-SI"/>
        </w:rPr>
        <w:t>vetovna carinska organizacija</w:t>
      </w:r>
      <w:r w:rsidR="009F385C" w:rsidRPr="009F385C">
        <w:rPr>
          <w:lang w:val="sl-SI"/>
        </w:rPr>
        <w:t xml:space="preserve"> preko posebnega odbora, imenovanega Odbor za harmoniziran</w:t>
      </w:r>
      <w:r w:rsidR="006934B0">
        <w:rPr>
          <w:lang w:val="sl-SI"/>
        </w:rPr>
        <w:t>i</w:t>
      </w:r>
      <w:r w:rsidR="009F385C" w:rsidRPr="009F385C">
        <w:rPr>
          <w:lang w:val="sl-SI"/>
        </w:rPr>
        <w:t xml:space="preserve"> sistem, ki ga sestavljajo predstavniki vseh pogodbenih strank konvencije. </w:t>
      </w:r>
    </w:p>
    <w:p w14:paraId="7297CF68" w14:textId="77777777" w:rsidR="00D95732" w:rsidRDefault="00D95732" w:rsidP="009F385C">
      <w:pPr>
        <w:jc w:val="both"/>
        <w:rPr>
          <w:lang w:val="sl-SI"/>
        </w:rPr>
      </w:pPr>
    </w:p>
    <w:p w14:paraId="44FCCEE7" w14:textId="77777777" w:rsidR="009F385C" w:rsidRPr="009F385C" w:rsidRDefault="009F385C" w:rsidP="009F385C">
      <w:pPr>
        <w:jc w:val="both"/>
        <w:rPr>
          <w:lang w:val="sl-SI"/>
        </w:rPr>
      </w:pPr>
      <w:r w:rsidRPr="009F385C">
        <w:rPr>
          <w:lang w:val="sl-SI"/>
        </w:rPr>
        <w:t>Odbor se sesta</w:t>
      </w:r>
      <w:r w:rsidR="00DF3376">
        <w:rPr>
          <w:lang w:val="sl-SI"/>
        </w:rPr>
        <w:t>ne</w:t>
      </w:r>
      <w:r w:rsidRPr="009F385C">
        <w:rPr>
          <w:lang w:val="sl-SI"/>
        </w:rPr>
        <w:t xml:space="preserve"> dvakrat letno, vsaka pogodbena stranka pa ima v odboru pravico do enega glasu. Evropska unija ima v tem odboru en glas. Odbor predlaga odločitve, ki spreminjajo konvencijo, vključno z nomenklaturo. Nadalje pripravlja </w:t>
      </w:r>
      <w:r w:rsidRPr="00434ECC">
        <w:rPr>
          <w:lang w:val="sl-SI"/>
        </w:rPr>
        <w:t xml:space="preserve">odločitve, ki razlagajo konvencijo in imajo </w:t>
      </w:r>
      <w:r w:rsidR="00DF3376">
        <w:rPr>
          <w:lang w:val="sl-SI"/>
        </w:rPr>
        <w:t>praviloma</w:t>
      </w:r>
      <w:r w:rsidRPr="00434ECC">
        <w:rPr>
          <w:lang w:val="sl-SI"/>
        </w:rPr>
        <w:t xml:space="preserve"> obliko</w:t>
      </w:r>
      <w:r w:rsidR="003B379A">
        <w:rPr>
          <w:lang w:val="sl-SI"/>
        </w:rPr>
        <w:t xml:space="preserve"> stališč o uvrščanju, mnenj o uvrščanju, pojasnjevalnih opomb ali priporočil</w:t>
      </w:r>
      <w:r w:rsidRPr="009F385C">
        <w:rPr>
          <w:lang w:val="sl-SI"/>
        </w:rPr>
        <w:t xml:space="preserve">. </w:t>
      </w:r>
    </w:p>
    <w:sectPr w:rsidR="009F385C" w:rsidRPr="009F385C" w:rsidSect="00783310">
      <w:headerReference w:type="default" r:id="rId19"/>
      <w:footerReference w:type="default" r:id="rId20"/>
      <w:headerReference w:type="first" r:id="rId21"/>
      <w:footerReference w:type="first" r:id="rId2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F565" w14:textId="77777777" w:rsidR="00756C8B" w:rsidRDefault="00756C8B">
      <w:r>
        <w:separator/>
      </w:r>
    </w:p>
  </w:endnote>
  <w:endnote w:type="continuationSeparator" w:id="0">
    <w:p w14:paraId="7E3B5832" w14:textId="77777777" w:rsidR="00756C8B" w:rsidRDefault="0075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0AA5" w14:textId="77777777" w:rsidR="009F30FB" w:rsidRDefault="009F30FB" w:rsidP="009F30FB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CC09F6" w:rsidRPr="00CC09F6">
      <w:rPr>
        <w:noProof/>
        <w:lang w:val="sl-SI"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994D" w14:textId="77777777" w:rsidR="00CA699D" w:rsidRDefault="00CA699D" w:rsidP="00751D38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3BD" w14:textId="77777777" w:rsidR="00756C8B" w:rsidRDefault="00756C8B">
      <w:r>
        <w:separator/>
      </w:r>
    </w:p>
  </w:footnote>
  <w:footnote w:type="continuationSeparator" w:id="0">
    <w:p w14:paraId="3C5B3D4F" w14:textId="77777777" w:rsidR="00756C8B" w:rsidRDefault="0075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4D28" w14:textId="77777777" w:rsidR="00CA699D" w:rsidRPr="00110CBD" w:rsidRDefault="00CA699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CA699D" w:rsidRPr="008F3500" w14:paraId="5217CF66" w14:textId="77777777">
      <w:trPr>
        <w:cantSplit/>
        <w:trHeight w:hRule="exact" w:val="847"/>
      </w:trPr>
      <w:tc>
        <w:tcPr>
          <w:tcW w:w="567" w:type="dxa"/>
        </w:tcPr>
        <w:p w14:paraId="10486FEA" w14:textId="77777777" w:rsidR="00CA699D" w:rsidRDefault="00CA699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45FA1FE0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A5B33C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AD9DCFD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FFA7BC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4D29843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280852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D424A8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58F060B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E792A3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0F14B5C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E4E196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AF172C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E18F176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DF42D16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B726A14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5C46E0" w14:textId="77777777" w:rsidR="00CA699D" w:rsidRPr="006D42D9" w:rsidRDefault="00CA699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67C5597" w14:textId="67F3BB2B" w:rsidR="00CA699D" w:rsidRPr="008F3500" w:rsidRDefault="001877C2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45603DD" wp14:editId="21A8E8B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570AAB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CA699D" w:rsidRPr="008F3500">
      <w:rPr>
        <w:rFonts w:ascii="Republika" w:hAnsi="Republika"/>
        <w:lang w:val="sl-SI"/>
      </w:rPr>
      <w:t>REPUBLIKA SLOVENIJA</w:t>
    </w:r>
  </w:p>
  <w:p w14:paraId="1AEC8462" w14:textId="77777777" w:rsidR="00CA699D" w:rsidRPr="008F3500" w:rsidRDefault="00CA699D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Ministrstvo za finance</w:t>
    </w:r>
  </w:p>
  <w:p w14:paraId="7E9F6742" w14:textId="77777777" w:rsidR="00CA699D" w:rsidRDefault="00CA699D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FINANČNA uprava Republike Slovenije</w:t>
    </w:r>
  </w:p>
  <w:p w14:paraId="44495001" w14:textId="77777777" w:rsidR="00CA699D" w:rsidRPr="008F3500" w:rsidRDefault="00CA699D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Šmartinska cesta 55, p.</w:t>
    </w:r>
    <w:r w:rsidR="008C3E70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p. 631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1001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01 478 38 00</w:t>
    </w:r>
  </w:p>
  <w:p w14:paraId="4B8F081C" w14:textId="77777777" w:rsidR="00CA699D" w:rsidRPr="008F3500" w:rsidRDefault="00CA699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gfu.fu@gov.si</w:t>
    </w:r>
  </w:p>
  <w:p w14:paraId="4936FA88" w14:textId="77777777" w:rsidR="00CA699D" w:rsidRPr="008F3500" w:rsidRDefault="00CA699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www.fu.gov.si</w:t>
    </w:r>
  </w:p>
  <w:p w14:paraId="5D35FD82" w14:textId="77777777" w:rsidR="00CA699D" w:rsidRPr="008F3500" w:rsidRDefault="00CA699D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4304F"/>
    <w:multiLevelType w:val="hybridMultilevel"/>
    <w:tmpl w:val="1ABAC212"/>
    <w:lvl w:ilvl="0" w:tplc="0144CE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278D"/>
    <w:multiLevelType w:val="hybridMultilevel"/>
    <w:tmpl w:val="AB6CFE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168A7"/>
    <w:multiLevelType w:val="hybridMultilevel"/>
    <w:tmpl w:val="DADA57B4"/>
    <w:lvl w:ilvl="0" w:tplc="D0B8CDF6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88172A"/>
    <w:multiLevelType w:val="hybridMultilevel"/>
    <w:tmpl w:val="9F703A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E6279"/>
    <w:multiLevelType w:val="multilevel"/>
    <w:tmpl w:val="07D4B01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E50E0"/>
    <w:multiLevelType w:val="hybridMultilevel"/>
    <w:tmpl w:val="5800707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60D54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2A65CC"/>
    <w:multiLevelType w:val="hybridMultilevel"/>
    <w:tmpl w:val="9DE8411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D229DB"/>
    <w:multiLevelType w:val="hybridMultilevel"/>
    <w:tmpl w:val="BF9C47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391BD9"/>
    <w:multiLevelType w:val="hybridMultilevel"/>
    <w:tmpl w:val="472CE1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10"/>
  </w:num>
  <w:num w:numId="11">
    <w:abstractNumId w:val="13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FF"/>
    <w:rsid w:val="000063FF"/>
    <w:rsid w:val="00020E43"/>
    <w:rsid w:val="00023A88"/>
    <w:rsid w:val="00030608"/>
    <w:rsid w:val="00032BA0"/>
    <w:rsid w:val="000334C7"/>
    <w:rsid w:val="000471A9"/>
    <w:rsid w:val="000517B6"/>
    <w:rsid w:val="000805EA"/>
    <w:rsid w:val="0008352D"/>
    <w:rsid w:val="00094765"/>
    <w:rsid w:val="000A488B"/>
    <w:rsid w:val="000A7238"/>
    <w:rsid w:val="000B0B21"/>
    <w:rsid w:val="000C203D"/>
    <w:rsid w:val="000C2273"/>
    <w:rsid w:val="000C7716"/>
    <w:rsid w:val="000D60AD"/>
    <w:rsid w:val="0011536A"/>
    <w:rsid w:val="001357B2"/>
    <w:rsid w:val="00137D1F"/>
    <w:rsid w:val="00150FC2"/>
    <w:rsid w:val="0016427D"/>
    <w:rsid w:val="001877C2"/>
    <w:rsid w:val="001A0026"/>
    <w:rsid w:val="001A3BA5"/>
    <w:rsid w:val="001B301D"/>
    <w:rsid w:val="001C2D67"/>
    <w:rsid w:val="001D15AE"/>
    <w:rsid w:val="001E21D0"/>
    <w:rsid w:val="001E4AFF"/>
    <w:rsid w:val="001E5B4F"/>
    <w:rsid w:val="001F3B22"/>
    <w:rsid w:val="001F4287"/>
    <w:rsid w:val="001F7BC0"/>
    <w:rsid w:val="00202A77"/>
    <w:rsid w:val="00210CC1"/>
    <w:rsid w:val="0022619C"/>
    <w:rsid w:val="002302D9"/>
    <w:rsid w:val="00235610"/>
    <w:rsid w:val="002452A8"/>
    <w:rsid w:val="00246CFA"/>
    <w:rsid w:val="00252F5D"/>
    <w:rsid w:val="0025492E"/>
    <w:rsid w:val="00270518"/>
    <w:rsid w:val="00271CE5"/>
    <w:rsid w:val="00276637"/>
    <w:rsid w:val="00276C6F"/>
    <w:rsid w:val="00282020"/>
    <w:rsid w:val="00284671"/>
    <w:rsid w:val="00284D68"/>
    <w:rsid w:val="00295CB3"/>
    <w:rsid w:val="002A5510"/>
    <w:rsid w:val="002D5CBD"/>
    <w:rsid w:val="00315399"/>
    <w:rsid w:val="00332C45"/>
    <w:rsid w:val="00342BA0"/>
    <w:rsid w:val="003636BF"/>
    <w:rsid w:val="00370AA7"/>
    <w:rsid w:val="00371619"/>
    <w:rsid w:val="0037479F"/>
    <w:rsid w:val="003845B4"/>
    <w:rsid w:val="00387B1A"/>
    <w:rsid w:val="00392F0B"/>
    <w:rsid w:val="00397391"/>
    <w:rsid w:val="003B379A"/>
    <w:rsid w:val="003E1C74"/>
    <w:rsid w:val="003F5F59"/>
    <w:rsid w:val="0040352A"/>
    <w:rsid w:val="00434ECC"/>
    <w:rsid w:val="00446B8E"/>
    <w:rsid w:val="00492862"/>
    <w:rsid w:val="004B112D"/>
    <w:rsid w:val="004D6DD0"/>
    <w:rsid w:val="004E1615"/>
    <w:rsid w:val="004E25FB"/>
    <w:rsid w:val="004E307A"/>
    <w:rsid w:val="0051447D"/>
    <w:rsid w:val="00526246"/>
    <w:rsid w:val="005265EB"/>
    <w:rsid w:val="00567106"/>
    <w:rsid w:val="00567485"/>
    <w:rsid w:val="00581B62"/>
    <w:rsid w:val="005D4DF6"/>
    <w:rsid w:val="005E1D3C"/>
    <w:rsid w:val="005F1270"/>
    <w:rsid w:val="006121F1"/>
    <w:rsid w:val="00632253"/>
    <w:rsid w:val="00642714"/>
    <w:rsid w:val="00643C4E"/>
    <w:rsid w:val="00643EEF"/>
    <w:rsid w:val="006455CE"/>
    <w:rsid w:val="00666FE7"/>
    <w:rsid w:val="00667BB9"/>
    <w:rsid w:val="00673009"/>
    <w:rsid w:val="00690689"/>
    <w:rsid w:val="006934B0"/>
    <w:rsid w:val="006A3AA5"/>
    <w:rsid w:val="006B26E9"/>
    <w:rsid w:val="006D2147"/>
    <w:rsid w:val="006D2FCD"/>
    <w:rsid w:val="006D42D9"/>
    <w:rsid w:val="006E3F8C"/>
    <w:rsid w:val="006E4E04"/>
    <w:rsid w:val="006F3D42"/>
    <w:rsid w:val="0071142F"/>
    <w:rsid w:val="00726463"/>
    <w:rsid w:val="00726F25"/>
    <w:rsid w:val="00733017"/>
    <w:rsid w:val="007352AE"/>
    <w:rsid w:val="00740B3F"/>
    <w:rsid w:val="00747EEE"/>
    <w:rsid w:val="00751D38"/>
    <w:rsid w:val="00756C8B"/>
    <w:rsid w:val="00783310"/>
    <w:rsid w:val="007928FD"/>
    <w:rsid w:val="007A4A6D"/>
    <w:rsid w:val="007A684A"/>
    <w:rsid w:val="007B2C09"/>
    <w:rsid w:val="007C47C1"/>
    <w:rsid w:val="007D1BCF"/>
    <w:rsid w:val="007D75CF"/>
    <w:rsid w:val="007E6DC5"/>
    <w:rsid w:val="008018EB"/>
    <w:rsid w:val="008210F7"/>
    <w:rsid w:val="008321F0"/>
    <w:rsid w:val="00847505"/>
    <w:rsid w:val="00863AF0"/>
    <w:rsid w:val="0088043C"/>
    <w:rsid w:val="00880DA3"/>
    <w:rsid w:val="00887E1E"/>
    <w:rsid w:val="008906C9"/>
    <w:rsid w:val="0089413D"/>
    <w:rsid w:val="008955FC"/>
    <w:rsid w:val="008B10D2"/>
    <w:rsid w:val="008B1105"/>
    <w:rsid w:val="008C3E70"/>
    <w:rsid w:val="008C5738"/>
    <w:rsid w:val="008D04F0"/>
    <w:rsid w:val="008D5F52"/>
    <w:rsid w:val="008E0ECC"/>
    <w:rsid w:val="008E44AB"/>
    <w:rsid w:val="008E5991"/>
    <w:rsid w:val="008F026E"/>
    <w:rsid w:val="008F3500"/>
    <w:rsid w:val="00924E3C"/>
    <w:rsid w:val="009477FA"/>
    <w:rsid w:val="009541F3"/>
    <w:rsid w:val="00954915"/>
    <w:rsid w:val="009612BB"/>
    <w:rsid w:val="009A0E83"/>
    <w:rsid w:val="009A1E1B"/>
    <w:rsid w:val="009A2207"/>
    <w:rsid w:val="009C4625"/>
    <w:rsid w:val="009E67D9"/>
    <w:rsid w:val="009E6AC6"/>
    <w:rsid w:val="009F30FB"/>
    <w:rsid w:val="009F32AF"/>
    <w:rsid w:val="009F385C"/>
    <w:rsid w:val="009F5B33"/>
    <w:rsid w:val="00A000F2"/>
    <w:rsid w:val="00A07C83"/>
    <w:rsid w:val="00A125C5"/>
    <w:rsid w:val="00A12D5C"/>
    <w:rsid w:val="00A32E62"/>
    <w:rsid w:val="00A42E2A"/>
    <w:rsid w:val="00A5039D"/>
    <w:rsid w:val="00A61123"/>
    <w:rsid w:val="00A65EE7"/>
    <w:rsid w:val="00A70133"/>
    <w:rsid w:val="00A80CA5"/>
    <w:rsid w:val="00A917B8"/>
    <w:rsid w:val="00AA02BB"/>
    <w:rsid w:val="00AA768D"/>
    <w:rsid w:val="00AC5C16"/>
    <w:rsid w:val="00AD156D"/>
    <w:rsid w:val="00AD7EF4"/>
    <w:rsid w:val="00AE642C"/>
    <w:rsid w:val="00B1337D"/>
    <w:rsid w:val="00B17141"/>
    <w:rsid w:val="00B210CF"/>
    <w:rsid w:val="00B21804"/>
    <w:rsid w:val="00B27607"/>
    <w:rsid w:val="00B30705"/>
    <w:rsid w:val="00B31575"/>
    <w:rsid w:val="00B42F86"/>
    <w:rsid w:val="00B47AF6"/>
    <w:rsid w:val="00B50EE6"/>
    <w:rsid w:val="00B51875"/>
    <w:rsid w:val="00B51B60"/>
    <w:rsid w:val="00B537E9"/>
    <w:rsid w:val="00B53904"/>
    <w:rsid w:val="00B7796A"/>
    <w:rsid w:val="00B8547D"/>
    <w:rsid w:val="00BA4F8E"/>
    <w:rsid w:val="00BA7152"/>
    <w:rsid w:val="00BA7E2B"/>
    <w:rsid w:val="00BE0231"/>
    <w:rsid w:val="00BE094A"/>
    <w:rsid w:val="00BF666C"/>
    <w:rsid w:val="00C055B7"/>
    <w:rsid w:val="00C17FBF"/>
    <w:rsid w:val="00C250D5"/>
    <w:rsid w:val="00C41AB2"/>
    <w:rsid w:val="00C47F8D"/>
    <w:rsid w:val="00C643ED"/>
    <w:rsid w:val="00C64874"/>
    <w:rsid w:val="00C73D52"/>
    <w:rsid w:val="00C74A2D"/>
    <w:rsid w:val="00C77394"/>
    <w:rsid w:val="00C80900"/>
    <w:rsid w:val="00C81391"/>
    <w:rsid w:val="00C9221D"/>
    <w:rsid w:val="00C92898"/>
    <w:rsid w:val="00C93EDB"/>
    <w:rsid w:val="00CA699D"/>
    <w:rsid w:val="00CB52DE"/>
    <w:rsid w:val="00CC09F6"/>
    <w:rsid w:val="00CC179C"/>
    <w:rsid w:val="00CD5727"/>
    <w:rsid w:val="00CE72B1"/>
    <w:rsid w:val="00CE7514"/>
    <w:rsid w:val="00CF6A0C"/>
    <w:rsid w:val="00D24693"/>
    <w:rsid w:val="00D248DE"/>
    <w:rsid w:val="00D503A7"/>
    <w:rsid w:val="00D624B8"/>
    <w:rsid w:val="00D63C0A"/>
    <w:rsid w:val="00D668B5"/>
    <w:rsid w:val="00D75126"/>
    <w:rsid w:val="00D8542D"/>
    <w:rsid w:val="00D95732"/>
    <w:rsid w:val="00DA2C9A"/>
    <w:rsid w:val="00DB34F6"/>
    <w:rsid w:val="00DC6A71"/>
    <w:rsid w:val="00DE5B46"/>
    <w:rsid w:val="00DF3376"/>
    <w:rsid w:val="00E0357D"/>
    <w:rsid w:val="00E04CFD"/>
    <w:rsid w:val="00E0623C"/>
    <w:rsid w:val="00E24EC2"/>
    <w:rsid w:val="00E2546D"/>
    <w:rsid w:val="00E27518"/>
    <w:rsid w:val="00E35A53"/>
    <w:rsid w:val="00E44ED5"/>
    <w:rsid w:val="00E50020"/>
    <w:rsid w:val="00E57198"/>
    <w:rsid w:val="00E572FE"/>
    <w:rsid w:val="00E853E8"/>
    <w:rsid w:val="00EA3960"/>
    <w:rsid w:val="00ED7E82"/>
    <w:rsid w:val="00EE6836"/>
    <w:rsid w:val="00F079C5"/>
    <w:rsid w:val="00F11C41"/>
    <w:rsid w:val="00F16C7C"/>
    <w:rsid w:val="00F240BB"/>
    <w:rsid w:val="00F46724"/>
    <w:rsid w:val="00F53E02"/>
    <w:rsid w:val="00F55D9A"/>
    <w:rsid w:val="00F57FED"/>
    <w:rsid w:val="00F75F95"/>
    <w:rsid w:val="00F762C1"/>
    <w:rsid w:val="00F80B37"/>
    <w:rsid w:val="00F825FF"/>
    <w:rsid w:val="00F907E8"/>
    <w:rsid w:val="00F97030"/>
    <w:rsid w:val="00FA0597"/>
    <w:rsid w:val="00FD0ED3"/>
    <w:rsid w:val="00FD2BE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7BAB217"/>
  <w15:chartTrackingRefBased/>
  <w15:docId w15:val="{361CBC01-B50D-4580-9712-38075CEF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541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9541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link w:val="podpisiZnak"/>
    <w:qFormat/>
    <w:rsid w:val="003E1C74"/>
    <w:pPr>
      <w:tabs>
        <w:tab w:val="left" w:pos="3402"/>
      </w:tabs>
    </w:pPr>
    <w:rPr>
      <w:lang w:val="it-IT"/>
    </w:rPr>
  </w:style>
  <w:style w:type="paragraph" w:customStyle="1" w:styleId="FURSnaslov1">
    <w:name w:val="FURS_naslov_1"/>
    <w:basedOn w:val="podpisi"/>
    <w:link w:val="FURSnaslov1Znak"/>
    <w:qFormat/>
    <w:rsid w:val="00CA699D"/>
    <w:rPr>
      <w:b/>
      <w:sz w:val="24"/>
      <w:lang w:val="sl-SI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A2C9A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</w:rPr>
  </w:style>
  <w:style w:type="character" w:customStyle="1" w:styleId="podpisiZnak">
    <w:name w:val="podpisi Znak"/>
    <w:link w:val="podpisi"/>
    <w:rsid w:val="00CA699D"/>
    <w:rPr>
      <w:rFonts w:ascii="Arial" w:hAnsi="Arial"/>
      <w:szCs w:val="24"/>
      <w:lang w:val="it-IT" w:eastAsia="en-US"/>
    </w:rPr>
  </w:style>
  <w:style w:type="character" w:customStyle="1" w:styleId="FURSnaslov1Znak">
    <w:name w:val="FURS_naslov_1 Znak"/>
    <w:link w:val="FURSnaslov1"/>
    <w:rsid w:val="00CA699D"/>
    <w:rPr>
      <w:rFonts w:ascii="Arial" w:hAnsi="Arial"/>
      <w:b/>
      <w:sz w:val="24"/>
      <w:szCs w:val="24"/>
      <w:lang w:val="it-IT" w:eastAsia="en-US"/>
    </w:rPr>
  </w:style>
  <w:style w:type="paragraph" w:styleId="Kazalovsebine1">
    <w:name w:val="toc 1"/>
    <w:basedOn w:val="Navaden"/>
    <w:next w:val="Navaden"/>
    <w:autoRedefine/>
    <w:uiPriority w:val="39"/>
    <w:qFormat/>
    <w:rsid w:val="009541F3"/>
    <w:pPr>
      <w:tabs>
        <w:tab w:val="right" w:leader="dot" w:pos="8488"/>
      </w:tabs>
      <w:ind w:left="284"/>
    </w:p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F079C5"/>
    <w:pPr>
      <w:tabs>
        <w:tab w:val="right" w:leader="dot" w:pos="8488"/>
      </w:tabs>
      <w:spacing w:line="276" w:lineRule="auto"/>
      <w:ind w:left="567"/>
    </w:pPr>
    <w:rPr>
      <w:rFonts w:ascii="Calibri" w:hAnsi="Calibri"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DA2C9A"/>
    <w:pPr>
      <w:spacing w:after="100" w:line="276" w:lineRule="auto"/>
      <w:ind w:left="440"/>
    </w:pPr>
    <w:rPr>
      <w:rFonts w:ascii="Calibri" w:hAnsi="Calibri"/>
      <w:sz w:val="22"/>
      <w:szCs w:val="22"/>
      <w:lang w:val="sl-SI" w:eastAsia="sl-SI"/>
    </w:rPr>
  </w:style>
  <w:style w:type="paragraph" w:styleId="Besedilooblaka">
    <w:name w:val="Balloon Text"/>
    <w:basedOn w:val="Navaden"/>
    <w:link w:val="BesedilooblakaZnak"/>
    <w:rsid w:val="00DA2C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A2C9A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link w:val="Naslov2"/>
    <w:semiHidden/>
    <w:rsid w:val="009541F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slov3Znak">
    <w:name w:val="Naslov 3 Znak"/>
    <w:link w:val="Naslov3"/>
    <w:semiHidden/>
    <w:rsid w:val="009541F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NogaZnak">
    <w:name w:val="Noga Znak"/>
    <w:link w:val="Noga"/>
    <w:uiPriority w:val="99"/>
    <w:rsid w:val="009F30FB"/>
    <w:rPr>
      <w:rFonts w:ascii="Arial" w:hAnsi="Arial"/>
      <w:szCs w:val="24"/>
      <w:lang w:val="en-US" w:eastAsia="en-US"/>
    </w:rPr>
  </w:style>
  <w:style w:type="paragraph" w:customStyle="1" w:styleId="FURSnaslov2">
    <w:name w:val="FURS_naslov_2"/>
    <w:basedOn w:val="podpisi"/>
    <w:link w:val="FURSnaslov2Znak"/>
    <w:qFormat/>
    <w:rsid w:val="00F079C5"/>
    <w:rPr>
      <w:b/>
      <w:sz w:val="24"/>
      <w:lang w:val="sl-SI"/>
    </w:rPr>
  </w:style>
  <w:style w:type="character" w:styleId="SledenaHiperpovezava">
    <w:name w:val="FollowedHyperlink"/>
    <w:rsid w:val="00B7796A"/>
    <w:rPr>
      <w:color w:val="800080"/>
      <w:u w:val="single"/>
    </w:rPr>
  </w:style>
  <w:style w:type="character" w:customStyle="1" w:styleId="FURSnaslov2Znak">
    <w:name w:val="FURS_naslov_2 Znak"/>
    <w:link w:val="FURSnaslov2"/>
    <w:rsid w:val="00F079C5"/>
    <w:rPr>
      <w:rFonts w:ascii="Arial" w:hAnsi="Arial"/>
      <w:b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2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4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coomd.org/en/topics/nomenclature/instrument-and-tools/hs-nomenclature-2017-edition/hs-nomenclature-2017-edition.aspx" TargetMode="External"/><Relationship Id="rId18" Type="http://schemas.openxmlformats.org/officeDocument/2006/relationships/hyperlink" Target="https://www.wcoomdpublications.org/en/products/harmonized-system/compendium-classification-opinions-hs-2022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wcoomd.org/" TargetMode="External"/><Relationship Id="rId17" Type="http://schemas.openxmlformats.org/officeDocument/2006/relationships/hyperlink" Target="https://www.wcoomdpublications.org/en/products/harmonized-system/explanatory-notes-20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cotradetools.org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coomd.org/en/topics/nomenclature/instrument-and-tools/hs_convention.asp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wcoomdpublications.org/en/products/harmonized-system/harmonized-system-nomenclature-2022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cotradetools.org/en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B973E05FF924392C75F7125FABE1C" ma:contentTypeVersion="" ma:contentTypeDescription="Ustvari nov dokument." ma:contentTypeScope="" ma:versionID="92b7d763a64e8ac426439fe6226ccf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fab43e4b4d4522ee103401782b6fa8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213DA-C67C-4D5C-8726-990F898A2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33610A-A95D-4F76-84DF-AF6F3C625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4CBFD-91FC-4C60-8036-2C3B8D48D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8A3AEE-85A3-4936-8E9D-653CDEADE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2037</Words>
  <Characters>11613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Finančna Uprava RS</Company>
  <LinksUpToDate>false</LinksUpToDate>
  <CharactersWithSpaces>13623</CharactersWithSpaces>
  <SharedDoc>false</SharedDoc>
  <HLinks>
    <vt:vector size="72" baseType="variant">
      <vt:variant>
        <vt:i4>3342450</vt:i4>
      </vt:variant>
      <vt:variant>
        <vt:i4>48</vt:i4>
      </vt:variant>
      <vt:variant>
        <vt:i4>0</vt:i4>
      </vt:variant>
      <vt:variant>
        <vt:i4>5</vt:i4>
      </vt:variant>
      <vt:variant>
        <vt:lpwstr>https://www.wcoomdpublications.org/en/products/harmonized-system/compendium-classification-opinions-hs-2022</vt:lpwstr>
      </vt:variant>
      <vt:variant>
        <vt:lpwstr/>
      </vt:variant>
      <vt:variant>
        <vt:i4>2621556</vt:i4>
      </vt:variant>
      <vt:variant>
        <vt:i4>45</vt:i4>
      </vt:variant>
      <vt:variant>
        <vt:i4>0</vt:i4>
      </vt:variant>
      <vt:variant>
        <vt:i4>5</vt:i4>
      </vt:variant>
      <vt:variant>
        <vt:lpwstr>https://www.wcoomdpublications.org/en/products/harmonized-system/explanatory-notes-2022</vt:lpwstr>
      </vt:variant>
      <vt:variant>
        <vt:lpwstr/>
      </vt:variant>
      <vt:variant>
        <vt:i4>4522059</vt:i4>
      </vt:variant>
      <vt:variant>
        <vt:i4>42</vt:i4>
      </vt:variant>
      <vt:variant>
        <vt:i4>0</vt:i4>
      </vt:variant>
      <vt:variant>
        <vt:i4>5</vt:i4>
      </vt:variant>
      <vt:variant>
        <vt:lpwstr>https://www.wcotradetools.org/en</vt:lpwstr>
      </vt:variant>
      <vt:variant>
        <vt:lpwstr/>
      </vt:variant>
      <vt:variant>
        <vt:i4>6160414</vt:i4>
      </vt:variant>
      <vt:variant>
        <vt:i4>39</vt:i4>
      </vt:variant>
      <vt:variant>
        <vt:i4>0</vt:i4>
      </vt:variant>
      <vt:variant>
        <vt:i4>5</vt:i4>
      </vt:variant>
      <vt:variant>
        <vt:lpwstr>https://www.wcoomdpublications.org/en/products/harmonized-system/harmonized-system-nomenclature-2022</vt:lpwstr>
      </vt:variant>
      <vt:variant>
        <vt:lpwstr/>
      </vt:variant>
      <vt:variant>
        <vt:i4>4522059</vt:i4>
      </vt:variant>
      <vt:variant>
        <vt:i4>36</vt:i4>
      </vt:variant>
      <vt:variant>
        <vt:i4>0</vt:i4>
      </vt:variant>
      <vt:variant>
        <vt:i4>5</vt:i4>
      </vt:variant>
      <vt:variant>
        <vt:lpwstr>https://www.wcotradetools.org/en</vt:lpwstr>
      </vt:variant>
      <vt:variant>
        <vt:lpwstr/>
      </vt:variant>
      <vt:variant>
        <vt:i4>4587603</vt:i4>
      </vt:variant>
      <vt:variant>
        <vt:i4>33</vt:i4>
      </vt:variant>
      <vt:variant>
        <vt:i4>0</vt:i4>
      </vt:variant>
      <vt:variant>
        <vt:i4>5</vt:i4>
      </vt:variant>
      <vt:variant>
        <vt:lpwstr>http://www.wcoomd.org/en/topics/nomenclature/instrument-and-tools/hs-nomenclature-2017-edition/hs-nomenclature-2017-edition.aspx</vt:lpwstr>
      </vt:variant>
      <vt:variant>
        <vt:lpwstr/>
      </vt:variant>
      <vt:variant>
        <vt:i4>2949168</vt:i4>
      </vt:variant>
      <vt:variant>
        <vt:i4>30</vt:i4>
      </vt:variant>
      <vt:variant>
        <vt:i4>0</vt:i4>
      </vt:variant>
      <vt:variant>
        <vt:i4>5</vt:i4>
      </vt:variant>
      <vt:variant>
        <vt:lpwstr>http://www.wcoomd.org/</vt:lpwstr>
      </vt:variant>
      <vt:variant>
        <vt:lpwstr/>
      </vt:variant>
      <vt:variant>
        <vt:i4>2031714</vt:i4>
      </vt:variant>
      <vt:variant>
        <vt:i4>27</vt:i4>
      </vt:variant>
      <vt:variant>
        <vt:i4>0</vt:i4>
      </vt:variant>
      <vt:variant>
        <vt:i4>5</vt:i4>
      </vt:variant>
      <vt:variant>
        <vt:lpwstr>http://www.wcoomd.org/en/topics/nomenclature/instrument-and-tools/hs_convention.aspx</vt:lpwstr>
      </vt:variant>
      <vt:variant>
        <vt:lpwstr/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_Toc412813702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_Toc412813701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_Toc412813700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_Toc412813699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DURS</dc:creator>
  <cp:keywords/>
  <cp:lastModifiedBy>Štefka Božiček</cp:lastModifiedBy>
  <cp:revision>3</cp:revision>
  <cp:lastPrinted>2021-06-07T12:17:00Z</cp:lastPrinted>
  <dcterms:created xsi:type="dcterms:W3CDTF">2023-01-27T08:44:00Z</dcterms:created>
  <dcterms:modified xsi:type="dcterms:W3CDTF">2023-01-27T09:45:00Z</dcterms:modified>
</cp:coreProperties>
</file>